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footer2.xml" ContentType="application/vnd.openxmlformats-officedocument.wordprocessingml.footer+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left w:w="0" w:type="dxa"/>
          <w:right w:w="0" w:type="dxa"/>
        </w:tblCellMar>
        <w:tblLook w:val="04A0" w:firstRow="1" w:lastRow="0" w:firstColumn="1" w:lastColumn="0" w:noHBand="0" w:noVBand="1"/>
      </w:tblPr>
      <w:tblGrid>
        <w:gridCol w:w="10716"/>
      </w:tblGrid>
      <w:tr>
        <w:tblPrEx/>
        <w:trPr>
          <w:cantSplit/>
          <w:trHeight w:val="3115" w:hRule="exact"/>
        </w:trPr>
        <w:tc>
          <w:tcPr>
            <w:tcBorders>
              <w:top w:val="none" w:color="000000" w:sz="2" w:space="0"/>
              <w:left w:val="none" w:color="000000" w:sz="2" w:space="0"/>
              <w:bottom w:val="none" w:color="000000" w:sz="2" w:space="0"/>
              <w:right w:val="none" w:color="000000" w:sz="2" w:space="0"/>
            </w:tcBorders>
            <w:tcW w:w="10716" w:type="dxa"/>
            <w:vAlign w:val="center"/>
            <w:textDirection w:val="lrTb"/>
            <w:noWrap w:val="false"/>
          </w:tcPr>
          <w:p>
            <w:pPr>
              <w:jc w:val="left"/>
              <w:spacing w:before="0" w:after="0" w:line="240" w:lineRule="auto"/>
              <w:rPr>
                <w:sz w:val="1"/>
              </w:rPr>
            </w:pPr>
            <w:r>
              <w:rPr>
                <w:sz w:val="1"/>
              </w:rPr>
              <w:t xml:space="preserve">\ql</w:t>
            </w:r>
            <w:r>
              <w:rPr>
                <w:rFonts w:ascii="Arial" w:hAnsi="Arial" w:eastAsia="Arial" w:cs="Arial"/>
                <w:sz w:val="1"/>
              </w:rPr>
            </w:r>
            <w:r>
              <w:rPr>
                <w:sz w:val="1"/>
              </w:rPr>
            </w:r>
          </w:p>
          <w:p>
            <w:pPr>
              <w:jc w:val="left"/>
              <w:spacing w:before="0" w:after="0" w:line="240" w:lineRule="auto"/>
              <w:rPr>
                <w:sz w:val="1"/>
              </w:rPr>
            </w:pPr>
            <w:r>
              <w:rPr>
                <w:sz w:val="1"/>
              </w:rPr>
            </w:r>
            <w:r>
              <w:rPr>
                <w:sz w:val="1"/>
              </w:rPr>
            </w:r>
          </w:p>
        </w:tc>
      </w:tr>
      <w:tr>
        <w:tblPrEx/>
        <w:trPr>
          <w:cantSplit/>
          <w:trHeight w:val="9934" w:hRule="exact"/>
        </w:trPr>
        <w:tc>
          <w:tcPr>
            <w:tcBorders>
              <w:top w:val="none" w:color="000000" w:sz="2" w:space="0"/>
              <w:left w:val="none" w:color="000000" w:sz="2" w:space="0"/>
              <w:bottom w:val="none" w:color="000000" w:sz="2" w:space="0"/>
              <w:right w:val="none" w:color="000000" w:sz="2" w:space="0"/>
            </w:tcBorders>
            <w:tcW w:w="10716" w:type="dxa"/>
            <w:vAlign w:val="center"/>
            <w:textDirection w:val="lrTb"/>
            <w:noWrap w:val="false"/>
          </w:tcPr>
          <w:p>
            <w:pPr>
              <w:jc w:val="center"/>
              <w:spacing w:before="0" w:after="0" w:line="240" w:lineRule="auto"/>
              <w:rPr>
                <w:rFonts w:ascii="Tahoma" w:hAnsi="Tahoma" w:eastAsia="Tahoma" w:cs="Tahoma"/>
                <w:sz w:val="48"/>
              </w:rPr>
            </w:pPr>
            <w:r>
              <w:rPr>
                <w:rFonts w:ascii="Tahoma" w:hAnsi="Tahoma" w:eastAsia="Tahoma" w:cs="Tahoma"/>
                <w:sz w:val="48"/>
              </w:rPr>
              <w:t xml:space="preserve">Решение Совета народных депутатов Анжеро-Судженского городского округа от 26.03.2015 N 339</w:t>
            </w:r>
            <w:r>
              <w:rPr>
                <w:rFonts w:ascii="Tahoma" w:hAnsi="Tahoma" w:eastAsia="Tahoma" w:cs="Tahoma"/>
                <w:sz w:val="48"/>
              </w:rPr>
              <w:br/>
            </w:r>
            <w:r>
              <w:rPr>
                <w:rFonts w:ascii="Tahoma" w:hAnsi="Tahoma" w:eastAsia="Tahoma" w:cs="Tahoma"/>
                <w:sz w:val="48"/>
              </w:rPr>
              <w:t xml:space="preserve">"О муниципальной службе в органах местного самоуправления Анжеро-Судженского городского округа"</w:t>
            </w:r>
            <w:r>
              <w:rPr>
                <w:rFonts w:ascii="Tahoma" w:hAnsi="Tahoma" w:eastAsia="Tahoma" w:cs="Tahoma"/>
                <w:sz w:val="48"/>
              </w:rPr>
              <w:br/>
            </w:r>
            <w:r>
              <w:rPr>
                <w:rFonts w:ascii="Tahoma" w:hAnsi="Tahoma" w:eastAsia="Tahoma" w:cs="Tahoma"/>
                <w:sz w:val="48"/>
              </w:rPr>
              <w:t xml:space="preserve">(принято Советом народных депутатов Анжеро-Судженского городского округа 26.03.2015)</w:t>
            </w:r>
            <w:r>
              <w:rPr>
                <w:rFonts w:ascii="Tahoma" w:hAnsi="Tahoma" w:eastAsia="Tahoma" w:cs="Tahoma"/>
                <w:sz w:val="48"/>
              </w:rPr>
            </w:r>
          </w:p>
          <w:p>
            <w:pPr>
              <w:jc w:val="center"/>
              <w:spacing w:before="0" w:after="0" w:line="240" w:lineRule="auto"/>
              <w:rPr>
                <w:rFonts w:ascii="Tahoma" w:hAnsi="Tahoma" w:eastAsia="Tahoma" w:cs="Tahoma"/>
                <w:sz w:val="48"/>
              </w:rPr>
            </w:pPr>
            <w:r>
              <w:rPr>
                <w:rFonts w:ascii="Tahoma" w:hAnsi="Tahoma" w:eastAsia="Tahoma" w:cs="Tahoma"/>
                <w:sz w:val="48"/>
              </w:rPr>
            </w:r>
            <w:r>
              <w:rPr>
                <w:rFonts w:ascii="Tahoma" w:hAnsi="Tahoma" w:eastAsia="Tahoma" w:cs="Tahoma"/>
                <w:sz w:val="48"/>
              </w:rPr>
            </w:r>
          </w:p>
        </w:tc>
      </w:tr>
      <w:tr>
        <w:tblPrEx/>
        <w:trPr>
          <w:cantSplit/>
          <w:trHeight w:val="3115" w:hRule="exact"/>
        </w:trPr>
        <w:tc>
          <w:tcPr>
            <w:tcBorders>
              <w:top w:val="none" w:color="000000" w:sz="2" w:space="0"/>
              <w:left w:val="none" w:color="000000" w:sz="2" w:space="0"/>
              <w:bottom w:val="none" w:color="000000" w:sz="2" w:space="0"/>
              <w:right w:val="none" w:color="000000" w:sz="2" w:space="0"/>
            </w:tcBorders>
            <w:tcW w:w="10716" w:type="dxa"/>
            <w:vAlign w:val="center"/>
            <w:textDirection w:val="lrTb"/>
            <w:noWrap w:val="false"/>
          </w:tcPr>
          <w:p>
            <w:pPr>
              <w:jc w:val="center"/>
              <w:spacing w:before="0" w:after="0" w:line="240" w:lineRule="auto"/>
              <w:rPr>
                <w:rFonts w:ascii="Tahoma" w:hAnsi="Tahoma" w:eastAsia="Tahoma" w:cs="Tahoma"/>
                <w:b w:val="0"/>
                <w:sz w:val="28"/>
              </w:rPr>
            </w:pPr>
            <w:r>
              <w:rPr>
                <w:rFonts w:ascii="Tahoma" w:hAnsi="Tahoma" w:eastAsia="Tahoma" w:cs="Tahoma"/>
                <w:b w:val="0"/>
                <w:sz w:val="28"/>
              </w:rPr>
            </w:r>
            <w:r>
              <w:rPr>
                <w:rFonts w:ascii="Tahoma" w:hAnsi="Tahoma" w:eastAsia="Tahoma" w:cs="Tahoma"/>
                <w:b w:val="0"/>
                <w:sz w:val="28"/>
              </w:rPr>
            </w:r>
          </w:p>
        </w:tc>
      </w:tr>
    </w:tbl>
    <w:p>
      <w:pPr>
        <w:pStyle w:val="773"/>
        <w:ind w:left="0" w:firstLine="0"/>
        <w:jc w:val="both"/>
        <w:spacing w:before="0" w:after="0" w:line="240" w:lineRule="auto"/>
        <w:rPr>
          <w:rFonts w:ascii="Arial" w:hAnsi="Arial" w:eastAsia="Arial" w:cs="Arial"/>
          <w:b w:val="0"/>
          <w:i w:val="0"/>
          <w:strike w:val="0"/>
          <w:sz w:val="20"/>
        </w:rPr>
        <w:outlineLvl w:val="0"/>
      </w:pPr>
      <w:r>
        <w:rPr>
          <w:rFonts w:ascii="Arial" w:hAnsi="Arial" w:eastAsia="Arial" w:cs="Arial"/>
          <w:b w:val="0"/>
          <w:i w:val="0"/>
          <w:strike w:val="0"/>
          <w:sz w:val="20"/>
        </w:rPr>
      </w:r>
      <w:r>
        <w:rPr>
          <w:rFonts w:ascii="Arial" w:hAnsi="Arial" w:eastAsia="Arial" w:cs="Arial"/>
          <w:b w:val="0"/>
          <w:i w:val="0"/>
          <w:strike w:val="0"/>
          <w:sz w:val="20"/>
        </w:rPr>
      </w:r>
    </w:p>
    <w:p>
      <w:pPr>
        <w:sectPr>
          <w:footerReference w:type="default" r:id="rId9"/>
          <w:footnotePr/>
          <w:endnotePr/>
          <w:type w:val="continuous"/>
          <w:pgSz w:w="11906" w:h="16838" w:orient="portrait"/>
          <w:pgMar w:top="0" w:right="595" w:bottom="0" w:left="595" w:header="0" w:footer="0" w:gutter="0"/>
          <w:cols w:num="1" w:sep="0" w:space="720" w:equalWidth="1"/>
          <w:docGrid w:linePitch="360"/>
        </w:sectPr>
      </w:pPr>
      <w:r/>
      <w:r/>
    </w:p>
    <w:p>
      <w:pPr>
        <w:pStyle w:val="773"/>
        <w:ind w:left="0" w:firstLine="0"/>
        <w:jc w:val="both"/>
        <w:spacing w:before="0" w:after="0" w:line="240" w:lineRule="auto"/>
        <w:rPr>
          <w:rFonts w:ascii="Arial" w:hAnsi="Arial" w:eastAsia="Arial" w:cs="Arial"/>
          <w:b w:val="0"/>
          <w:i w:val="0"/>
          <w:strike w:val="0"/>
          <w:sz w:val="20"/>
        </w:rPr>
        <w:outlineLvl w:val="0"/>
      </w:pPr>
      <w:r>
        <w:rPr>
          <w:rFonts w:ascii="Arial" w:hAnsi="Arial" w:eastAsia="Arial" w:cs="Arial"/>
          <w:b w:val="0"/>
          <w:i w:val="0"/>
          <w:strike w:val="0"/>
          <w:sz w:val="20"/>
        </w:rPr>
      </w:r>
      <w:r>
        <w:rPr>
          <w:rFonts w:ascii="Arial" w:hAnsi="Arial" w:eastAsia="Arial" w:cs="Arial"/>
          <w:b w:val="0"/>
          <w:i w:val="0"/>
          <w:strike w:val="0"/>
          <w:sz w:val="20"/>
        </w:rPr>
      </w:r>
    </w:p>
    <w:tbl>
      <w:tblPr>
        <w:tblW w:w="5000" w:type="pc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top w:w="0" w:type="dxa"/>
          <w:right w:w="0" w:type="dxa"/>
          <w:bottom w:w="0" w:type="dxa"/>
        </w:tblCellMar>
        <w:tblLook w:val="04A0" w:firstRow="1" w:lastRow="0" w:firstColumn="1" w:lastColumn="0" w:noHBand="0" w:noVBand="1"/>
      </w:tblPr>
      <w:tblGrid>
        <w:gridCol w:w="5103"/>
        <w:gridCol w:w="5103"/>
      </w:tblGrid>
      <w:tr>
        <w:tblPrEx/>
        <w:trPr/>
        <w:tc>
          <w:tcPr>
            <w:tcMar>
              <w:left w:w="0" w:type="dxa"/>
              <w:top w:w="0" w:type="dxa"/>
              <w:right w:w="0" w:type="dxa"/>
              <w:bottom w:w="0" w:type="dxa"/>
            </w:tcMar>
            <w:tcW w:w="5103" w:type="dxa"/>
            <w:textDirection w:val="lrTb"/>
            <w:noWrap w:val="false"/>
          </w:tcPr>
          <w:p>
            <w:pPr>
              <w:pStyle w:val="773"/>
              <w:ind w:left="0" w:firstLine="0"/>
              <w:jc w:val="left"/>
              <w:spacing w:before="0" w:after="0" w:line="240" w:lineRule="auto"/>
              <w:rPr>
                <w:rFonts w:ascii="Arial" w:hAnsi="Arial" w:eastAsia="Arial" w:cs="Arial"/>
                <w:b w:val="0"/>
                <w:i w:val="0"/>
                <w:strike w:val="0"/>
                <w:sz w:val="20"/>
              </w:rPr>
              <w:outlineLvl w:val="0"/>
            </w:pPr>
            <w:r/>
            <w:bookmarkStart w:id="1" w:name="Par1"/>
            <w:r/>
            <w:bookmarkEnd w:id="1"/>
            <w:r>
              <w:rPr>
                <w:rFonts w:ascii="Arial" w:hAnsi="Arial" w:eastAsia="Arial" w:cs="Arial"/>
                <w:b w:val="0"/>
                <w:i w:val="0"/>
                <w:strike w:val="0"/>
                <w:sz w:val="20"/>
              </w:rPr>
              <w:t xml:space="preserve">26</w:t>
            </w:r>
            <w:r>
              <w:rPr>
                <w:rFonts w:ascii="Arial" w:hAnsi="Arial" w:eastAsia="Arial" w:cs="Arial"/>
                <w:b w:val="0"/>
                <w:i w:val="0"/>
                <w:strike w:val="0"/>
                <w:sz w:val="20"/>
              </w:rPr>
              <w:t xml:space="preserve"> </w:t>
            </w:r>
            <w:r>
              <w:rPr>
                <w:rFonts w:ascii="Arial" w:hAnsi="Arial" w:eastAsia="Arial" w:cs="Arial"/>
                <w:b w:val="0"/>
                <w:i w:val="0"/>
                <w:strike w:val="0"/>
                <w:sz w:val="20"/>
              </w:rPr>
              <w:t xml:space="preserve">марта</w:t>
            </w:r>
            <w:r>
              <w:rPr>
                <w:rFonts w:ascii="Arial" w:hAnsi="Arial" w:eastAsia="Arial" w:cs="Arial"/>
                <w:b w:val="0"/>
                <w:i w:val="0"/>
                <w:strike w:val="0"/>
                <w:sz w:val="20"/>
              </w:rPr>
              <w:t xml:space="preserve"> </w:t>
            </w:r>
            <w:r>
              <w:rPr>
                <w:rFonts w:ascii="Arial" w:hAnsi="Arial" w:eastAsia="Arial" w:cs="Arial"/>
                <w:b w:val="0"/>
                <w:i w:val="0"/>
                <w:strike w:val="0"/>
                <w:sz w:val="20"/>
              </w:rPr>
              <w:t xml:space="preserve">2015</w:t>
            </w:r>
            <w:r>
              <w:rPr>
                <w:rFonts w:ascii="Arial" w:hAnsi="Arial" w:eastAsia="Arial" w:cs="Arial"/>
                <w:b w:val="0"/>
                <w:i w:val="0"/>
                <w:strike w:val="0"/>
                <w:sz w:val="20"/>
              </w:rPr>
              <w:t xml:space="preserve"> </w:t>
            </w:r>
            <w:r>
              <w:rPr>
                <w:rFonts w:ascii="Arial" w:hAnsi="Arial" w:eastAsia="Arial" w:cs="Arial"/>
                <w:b w:val="0"/>
                <w:i w:val="0"/>
                <w:strike w:val="0"/>
                <w:sz w:val="20"/>
              </w:rPr>
              <w:t xml:space="preserve">года</w:t>
            </w:r>
            <w:r>
              <w:rPr>
                <w:rFonts w:ascii="Arial" w:hAnsi="Arial" w:eastAsia="Arial" w:cs="Arial"/>
                <w:b w:val="0"/>
                <w:i w:val="0"/>
                <w:strike w:val="0"/>
                <w:sz w:val="20"/>
              </w:rPr>
            </w:r>
          </w:p>
        </w:tc>
        <w:tc>
          <w:tcPr>
            <w:tcMar>
              <w:left w:w="0" w:type="dxa"/>
              <w:top w:w="0" w:type="dxa"/>
              <w:right w:w="0" w:type="dxa"/>
              <w:bottom w:w="0" w:type="dxa"/>
            </w:tcMar>
            <w:tcW w:w="5103" w:type="dxa"/>
            <w:textDirection w:val="lrTb"/>
            <w:noWrap w:val="false"/>
          </w:tcPr>
          <w:p>
            <w:pPr>
              <w:pStyle w:val="773"/>
              <w:ind w:left="0" w:firstLine="0"/>
              <w:jc w:val="right"/>
              <w:spacing w:before="0" w:after="0" w:line="240" w:lineRule="auto"/>
              <w:rPr>
                <w:rFonts w:ascii="Arial" w:hAnsi="Arial" w:eastAsia="Arial" w:cs="Arial"/>
                <w:b w:val="0"/>
                <w:i w:val="0"/>
                <w:strike w:val="0"/>
                <w:sz w:val="20"/>
              </w:rPr>
              <w:outlineLvl w:val="0"/>
            </w:pPr>
            <w:r/>
            <w:bookmarkStart w:id="1" w:name="Par1"/>
            <w:r/>
            <w:bookmarkEnd w:id="1"/>
            <w:r>
              <w:rPr>
                <w:rFonts w:ascii="Arial" w:hAnsi="Arial" w:eastAsia="Arial" w:cs="Arial"/>
                <w:b w:val="0"/>
                <w:i w:val="0"/>
                <w:strike w:val="0"/>
                <w:sz w:val="20"/>
              </w:rPr>
              <w:t xml:space="preserve">N</w:t>
            </w:r>
            <w:r>
              <w:rPr>
                <w:rFonts w:ascii="Arial" w:hAnsi="Arial" w:eastAsia="Arial" w:cs="Arial"/>
                <w:b w:val="0"/>
                <w:i w:val="0"/>
                <w:strike w:val="0"/>
                <w:sz w:val="20"/>
              </w:rPr>
              <w:t xml:space="preserve"> </w:t>
            </w:r>
            <w:r>
              <w:rPr>
                <w:rFonts w:ascii="Arial" w:hAnsi="Arial" w:eastAsia="Arial" w:cs="Arial"/>
                <w:b w:val="0"/>
                <w:i w:val="0"/>
                <w:strike w:val="0"/>
                <w:sz w:val="20"/>
              </w:rPr>
              <w:t xml:space="preserve">339</w:t>
            </w:r>
            <w:r>
              <w:rPr>
                <w:rFonts w:ascii="Arial" w:hAnsi="Arial" w:eastAsia="Arial" w:cs="Arial"/>
                <w:b w:val="0"/>
                <w:i w:val="0"/>
                <w:strike w:val="0"/>
                <w:sz w:val="20"/>
              </w:rPr>
            </w:r>
          </w:p>
        </w:tc>
      </w:tr>
    </w:tbl>
    <w:p>
      <w:pPr>
        <w:pStyle w:val="773"/>
        <w:ind w:left="0" w:firstLine="0"/>
        <w:jc w:val="left"/>
        <w:spacing w:before="100" w:after="100" w:line="240" w:lineRule="auto"/>
        <w:rPr>
          <w:rFonts w:ascii="Arial" w:hAnsi="Arial" w:eastAsia="Arial" w:cs="Arial"/>
          <w:b w:val="0"/>
          <w:i w:val="0"/>
          <w:strike w:val="0"/>
          <w:sz w:val="0"/>
        </w:rPr>
        <w:pBdr>
          <w:top w:val="single" w:color="000000" w:sz="4" w:space="0"/>
        </w:pBdr>
      </w:pPr>
      <w:r>
        <w:rPr>
          <w:rFonts w:ascii="Arial" w:hAnsi="Arial" w:eastAsia="Arial" w:cs="Arial"/>
          <w:b w:val="0"/>
          <w:i w:val="0"/>
          <w:strike w:val="0"/>
          <w:sz w:val="0"/>
        </w:rPr>
      </w:r>
      <w:r>
        <w:rPr>
          <w:rFonts w:ascii="Arial" w:hAnsi="Arial" w:eastAsia="Arial" w:cs="Arial"/>
          <w:b w:val="0"/>
          <w:i w:val="0"/>
          <w:strike w:val="0"/>
          <w:sz w:val="0"/>
        </w:rPr>
      </w:r>
    </w:p>
    <w:p>
      <w:pPr>
        <w:pStyle w:val="773"/>
        <w:ind w:left="0" w:firstLine="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АНЖЕРО-СУДЖЕНСКИЙ ГОРОДСКОЙ ОКРУГ</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РЕШЕНИЕ</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О МУНИЦИПАЛЬНОЙ СЛУЖБЕ В ОРГАНАХ МЕСТНОГО САМОУПРАВЛЕНИЯ</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АНЖЕРО-СУДЖЕНСКОГО ГОРОДСКОГО ОКРУГА</w:t>
      </w:r>
      <w:r>
        <w:rPr>
          <w:rFonts w:ascii="Arial" w:hAnsi="Arial" w:eastAsia="Arial" w:cs="Arial"/>
          <w:b/>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Принято на сессии</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Совета народных депутатов</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Анжеро-Судженского 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26 марта 2015 года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соответствии с Федеральным </w:t>
      </w:r>
      <w:hyperlink r:id="rId11" w:tooltip="consultantplus://offline/ref=36965D7B2E0C84C6FB267770E660929D75779196264F67BE7D03A79C890E589AF2C7BB30BDC2003EyFB4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02.03.2007 N 25-ФЗ "О муниципальной службе в Российской Федерации" и </w:t>
      </w:r>
      <w:hyperlink r:id="rId12" w:tooltip="consultantplus://offline/ref=36965D7B2E0C84C6FB26697DF00CCE98707BC899214F6CEB265CFCC1DE0752CDB588E272F9CF013FF388A4y2B0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Кемеровской области от 30.06.2007 N 103-ОЗ "О некоторых вопросах прохождения муниципальной службы", Совет народных депутатов Анжеро-Судженского городского округа решил:</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Утвердить </w:t>
      </w:r>
      <w:hyperlink w:history="1">
        <w:r>
          <w:rPr>
            <w:rFonts w:ascii="Arial" w:hAnsi="Arial" w:eastAsia="Arial" w:cs="Arial"/>
            <w:b w:val="0"/>
            <w:i w:val="0"/>
            <w:strike w:val="0"/>
            <w:color w:val="0000ff"/>
            <w:sz w:val="20"/>
          </w:rPr>
          <w:t xml:space="preserve">Положение</w:t>
        </w:r>
      </w:hyperlink>
      <w:r>
        <w:rPr>
          <w:rFonts w:ascii="Arial" w:hAnsi="Arial" w:eastAsia="Arial" w:cs="Arial"/>
          <w:b w:val="0"/>
          <w:i w:val="0"/>
          <w:strike w:val="0"/>
          <w:sz w:val="20"/>
        </w:rPr>
        <w:t xml:space="preserve"> о муниципальной службе в органах местного самоуправления Анжеро-Судженского городского округа согласно приложению N 1 к решению.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Утвердить </w:t>
      </w:r>
      <w:hyperlink w:history="1">
        <w:r>
          <w:rPr>
            <w:rFonts w:ascii="Arial" w:hAnsi="Arial" w:eastAsia="Arial" w:cs="Arial"/>
            <w:b w:val="0"/>
            <w:i w:val="0"/>
            <w:strike w:val="0"/>
            <w:color w:val="0000ff"/>
            <w:sz w:val="20"/>
          </w:rPr>
          <w:t xml:space="preserve">реестр</w:t>
        </w:r>
      </w:hyperlink>
      <w:r>
        <w:rPr>
          <w:rFonts w:ascii="Arial" w:hAnsi="Arial" w:eastAsia="Arial" w:cs="Arial"/>
          <w:b w:val="0"/>
          <w:i w:val="0"/>
          <w:strike w:val="0"/>
          <w:sz w:val="20"/>
        </w:rPr>
        <w:t xml:space="preserve"> должностей муниципальной службы в органах местного самоуправления Анжеро-Судженского городского округа согласно приложению N 2 к решению.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Утвердить квалификационные </w:t>
      </w:r>
      <w:hyperlink w:history="1">
        <w:r>
          <w:rPr>
            <w:rFonts w:ascii="Arial" w:hAnsi="Arial" w:eastAsia="Arial" w:cs="Arial"/>
            <w:b w:val="0"/>
            <w:i w:val="0"/>
            <w:strike w:val="0"/>
            <w:color w:val="0000ff"/>
            <w:sz w:val="20"/>
          </w:rPr>
          <w:t xml:space="preserve">требования</w:t>
        </w:r>
      </w:hyperlink>
      <w:r>
        <w:rPr>
          <w:rFonts w:ascii="Arial" w:hAnsi="Arial" w:eastAsia="Arial" w:cs="Arial"/>
          <w:b w:val="0"/>
          <w:i w:val="0"/>
          <w:strike w:val="0"/>
          <w:sz w:val="20"/>
        </w:rPr>
        <w:t xml:space="preserve"> для замещения должностей муниципальной службы в органах местного самоуправления Анжеро-Судженского городского округа согласно приложению N 3 к решению.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Настоящее решение вступает в силу после официального опубликования.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Опубликовать данное решение в городской газете "Наш город" и на официальном сайте Анжеро-Судженского городского округа в информационно-телекоммуникационной сети "Интернет".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Председатель</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Совета народных депутатов</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Г.М.ГОРБАЧЕВ</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Глава 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В.Н.ЧЕРНОВ</w:t>
      </w:r>
      <w:r>
        <w:rPr>
          <w:rFonts w:ascii="Arial" w:hAnsi="Arial" w:eastAsia="Arial" w:cs="Arial"/>
          <w:b w:val="0"/>
          <w:i w:val="0"/>
          <w:strike w:val="0"/>
          <w:sz w:val="20"/>
        </w:rPr>
      </w:r>
    </w:p>
    <w:p>
      <w:pPr>
        <w:pStyle w:val="773"/>
        <w:ind w:left="0" w:firstLine="540"/>
        <w:jc w:val="left"/>
        <w:spacing w:before="0" w:after="0" w:line="240" w:lineRule="auto"/>
        <w:tabs>
          <w:tab w:val="left" w:pos="2274" w:leader="none"/>
        </w:tabs>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tab/>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outlineLvl w:val="0"/>
      </w:pPr>
      <w:r/>
      <w:bookmarkStart w:id="2" w:name="Par36"/>
      <w:r/>
      <w:bookmarkEnd w:id="2"/>
      <w:r>
        <w:rPr>
          <w:rFonts w:ascii="Arial" w:hAnsi="Arial" w:eastAsia="Arial" w:cs="Arial"/>
          <w:b w:val="0"/>
          <w:i w:val="0"/>
          <w:strike w:val="0"/>
          <w:sz w:val="20"/>
        </w:rPr>
        <w:t xml:space="preserve">Приложение N 1</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 решению</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Совета народных депутатов</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Анжеро-Судженского 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от 26 марта 2015 г. N 339</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i w:val="0"/>
          <w:strike w:val="0"/>
          <w:sz w:val="20"/>
        </w:rPr>
      </w:pPr>
      <w:r/>
      <w:bookmarkStart w:id="3" w:name="Par42"/>
      <w:r/>
      <w:bookmarkEnd w:id="3"/>
      <w:r>
        <w:rPr>
          <w:rFonts w:ascii="Arial" w:hAnsi="Arial" w:eastAsia="Arial" w:cs="Arial"/>
          <w:b/>
          <w:i w:val="0"/>
          <w:strike w:val="0"/>
          <w:sz w:val="20"/>
        </w:rPr>
        <w:t xml:space="preserve">ПОЛОЖЕНИЕ</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О МУНИЦИПАЛЬНОЙ СЛУЖБЕ В ОРГАНАХ МЕСТНОГО САМОУПРАВЛЕНИЯ</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АНЖЕРО-СУДЖЕНСКОГО ГОРОДСКОГО ОКРУГА</w:t>
      </w:r>
      <w:r>
        <w:rPr>
          <w:rFonts w:ascii="Arial" w:hAnsi="Arial" w:eastAsia="Arial" w:cs="Arial"/>
          <w:b/>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Настоящее Положение разработано в соответствии с </w:t>
      </w:r>
      <w:hyperlink r:id="rId13" w:tooltip="consultantplus://offline/ref=36965D7B2E0C84C6FB267770E660929D76789191281D30BC2C56A9y9B9K" w:history="1">
        <w:r>
          <w:rPr>
            <w:rFonts w:ascii="Arial" w:hAnsi="Arial" w:eastAsia="Arial" w:cs="Arial"/>
            <w:b w:val="0"/>
            <w:i w:val="0"/>
            <w:strike w:val="0"/>
            <w:color w:val="0000ff"/>
            <w:sz w:val="20"/>
          </w:rPr>
          <w:t xml:space="preserve">Конституцией</w:t>
        </w:r>
      </w:hyperlink>
      <w:r>
        <w:rPr>
          <w:rFonts w:ascii="Arial" w:hAnsi="Arial" w:eastAsia="Arial" w:cs="Arial"/>
          <w:b w:val="0"/>
          <w:i w:val="0"/>
          <w:strike w:val="0"/>
          <w:sz w:val="20"/>
        </w:rPr>
        <w:t xml:space="preserve"> Российской Федерации, Федеральным </w:t>
      </w:r>
      <w:hyperlink r:id="rId14" w:tooltip="consultantplus://offline/ref=36965D7B2E0C84C6FB267770E660929D75779196264F67BE7D03A79C89y0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02.03.2007 N 25-ФЗ "О муниципальной службе в Российской Федерации" и </w:t>
      </w:r>
      <w:hyperlink r:id="rId15" w:tooltip="consultantplus://offline/ref=36965D7B2E0C84C6FB26697DF00CCE98707BC899214F6CEB265CFCC1DE0752CDyBB5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Кемеровской области от 30 июня 2007 г. N 103-ОЗ "О некоторых вопросах прохождения муниципальной службы", </w:t>
      </w:r>
      <w:hyperlink r:id="rId16" w:tooltip="consultantplus://offline/ref=36965D7B2E0C84C6FB26697DF00CCE98707BC899254865EC275CFCC1DE0752CDB588E272F9CF013FF18AA1y2BAK" w:history="1">
        <w:r>
          <w:rPr>
            <w:rFonts w:ascii="Arial" w:hAnsi="Arial" w:eastAsia="Arial" w:cs="Arial"/>
            <w:b w:val="0"/>
            <w:i w:val="0"/>
            <w:strike w:val="0"/>
            <w:color w:val="0000ff"/>
            <w:sz w:val="20"/>
          </w:rPr>
          <w:t xml:space="preserve">Уставом</w:t>
        </w:r>
      </w:hyperlink>
      <w:r>
        <w:rPr>
          <w:rFonts w:ascii="Arial" w:hAnsi="Arial" w:eastAsia="Arial" w:cs="Arial"/>
          <w:b w:val="0"/>
          <w:i w:val="0"/>
          <w:strike w:val="0"/>
          <w:sz w:val="20"/>
        </w:rPr>
        <w:t xml:space="preserve"> муниципального образования "Анжеро-Судженский городской округ" и регулирует порядок прохождения муниципал</w:t>
      </w:r>
      <w:r>
        <w:rPr>
          <w:rFonts w:ascii="Arial" w:hAnsi="Arial" w:eastAsia="Arial" w:cs="Arial"/>
          <w:b w:val="0"/>
          <w:i w:val="0"/>
          <w:strike w:val="0"/>
          <w:sz w:val="20"/>
        </w:rPr>
        <w:t xml:space="preserve">ьной службы в органах местного самоуправления Анжеро-Судженского городского округа (далее - органы местного самоуправления), а также правовое положение (статус), права, обязанности и ответственность муниципальных служащих в органах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4" w:name="Par48"/>
      <w:r/>
      <w:bookmarkEnd w:id="4"/>
      <w:r>
        <w:rPr>
          <w:rFonts w:ascii="Arial" w:hAnsi="Arial" w:eastAsia="Arial" w:cs="Arial"/>
          <w:b w:val="0"/>
          <w:i w:val="0"/>
          <w:strike w:val="0"/>
          <w:sz w:val="20"/>
        </w:rPr>
        <w:t xml:space="preserve">Глава 1. ОБЩИЕ ПОЛОЖЕНИЯ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5" w:name="Par50"/>
      <w:r/>
      <w:bookmarkEnd w:id="5"/>
      <w:r>
        <w:rPr>
          <w:rFonts w:ascii="Arial" w:hAnsi="Arial" w:eastAsia="Arial" w:cs="Arial"/>
          <w:b w:val="0"/>
          <w:i w:val="0"/>
          <w:strike w:val="0"/>
          <w:sz w:val="20"/>
        </w:rPr>
        <w:t xml:space="preserve">Статья 1. Основные понятия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настоящем Положении используются основные понятия, определяемые федеральным и областным законодательством о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Муниципальным служащим Анжеро-Судженского </w:t>
      </w:r>
      <w:r>
        <w:rPr>
          <w:rFonts w:ascii="Arial" w:hAnsi="Arial" w:eastAsia="Arial" w:cs="Arial"/>
          <w:b w:val="0"/>
          <w:i w:val="0"/>
          <w:strike w:val="0"/>
          <w:sz w:val="20"/>
        </w:rPr>
        <w:t xml:space="preserve">городского округа является лицо, замещающее муниципальную должность муниципальной службы на постоянной профессиональной основе путем заключения трудового договора, с установленным кругом обязанностей и денежным содержанием за счет средств местного бюджета.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Нанимат</w:t>
      </w:r>
      <w:r>
        <w:rPr>
          <w:rFonts w:ascii="Arial" w:hAnsi="Arial" w:eastAsia="Arial" w:cs="Arial"/>
          <w:b w:val="0"/>
          <w:i w:val="0"/>
          <w:strike w:val="0"/>
          <w:sz w:val="20"/>
        </w:rPr>
        <w:t xml:space="preserve">елем для муниципального служащего является муниципальное образование, от имени которого полномочия нанимателя осуществляет представитель нанимателя. Представителем нанимателя (работодателем) является глава городского округа, председатель Совета народных де</w:t>
      </w:r>
      <w:r>
        <w:rPr>
          <w:rFonts w:ascii="Arial" w:hAnsi="Arial" w:eastAsia="Arial" w:cs="Arial"/>
          <w:b w:val="0"/>
          <w:i w:val="0"/>
          <w:strike w:val="0"/>
          <w:sz w:val="20"/>
        </w:rPr>
        <w:t xml:space="preserve">путатов Анжеро-Судженского городского округа, председатель контрольно-счетной палаты Анжеро-Судженского городского округа, иное лицо, уполномоченное исполнять обязанности представителя нанимателя (руководители самостоятельных органов администрации города).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Выборная муниципальная должность - должность, замещаемая в результате муниципальных выборов (депутаты, члены выборного органа местного самоуправления,</w:t>
      </w:r>
      <w:r>
        <w:rPr>
          <w:rFonts w:ascii="Arial" w:hAnsi="Arial" w:eastAsia="Arial" w:cs="Arial"/>
          <w:b w:val="0"/>
          <w:i w:val="0"/>
          <w:strike w:val="0"/>
          <w:sz w:val="20"/>
        </w:rPr>
        <w:t xml:space="preserve"> выборные должностные лица местного самоуправления), а также в результате решений представительного или иного выборного органа местного самоуправления из числа лиц, избранных в результате муниципальных выборов в состав этого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Должность муниципальной службы - должность в органе местного самоуправления, которая образуется в соответствии с </w:t>
      </w:r>
      <w:hyperlink r:id="rId17" w:tooltip="consultantplus://offline/ref=36965D7B2E0C84C6FB26697DF00CCE98707BC899254865EC275CFCC1DE0752CDyBB5K" w:history="1">
        <w:r>
          <w:rPr>
            <w:rFonts w:ascii="Arial" w:hAnsi="Arial" w:eastAsia="Arial" w:cs="Arial"/>
            <w:b w:val="0"/>
            <w:i w:val="0"/>
            <w:strike w:val="0"/>
            <w:color w:val="0000ff"/>
            <w:sz w:val="20"/>
          </w:rPr>
          <w:t xml:space="preserve">Уставом</w:t>
        </w:r>
      </w:hyperlink>
      <w:r>
        <w:rPr>
          <w:rFonts w:ascii="Arial" w:hAnsi="Arial" w:eastAsia="Arial" w:cs="Arial"/>
          <w:b w:val="0"/>
          <w:i w:val="0"/>
          <w:strike w:val="0"/>
          <w:sz w:val="20"/>
        </w:rPr>
        <w:t xml:space="preserve"> городского округа, с установленным кругом обязанностей по обеспечению исполнения полномочий органа местного самоуправления, и лица, замещающего муниципальную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Должности муниципальной службы устанавливаются муниципальными правовыми актами в соответствии с реестром должностей муниципальной службы, утвержденным Законом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Реестр муниципальных должностей муниципальной службы - перечень должностей муниципальной службы в органах местного самоуправления, в соответствии с которым формируется структура и штаты органов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6" w:name="Par61"/>
      <w:r/>
      <w:bookmarkEnd w:id="6"/>
      <w:r>
        <w:rPr>
          <w:rFonts w:ascii="Arial" w:hAnsi="Arial" w:eastAsia="Arial" w:cs="Arial"/>
          <w:b w:val="0"/>
          <w:i w:val="0"/>
          <w:strike w:val="0"/>
          <w:sz w:val="20"/>
        </w:rPr>
        <w:t xml:space="preserve">Статья 2. Правовая основа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Муниципальная служба в органах местного самоуправления Анжеро-Судженского городского округа осуществляется в соответствии с </w:t>
      </w:r>
      <w:hyperlink r:id="rId18" w:tooltip="consultantplus://offline/ref=36965D7B2E0C84C6FB267770E660929D76789191281D30BC2C56A9y9B9K" w:history="1">
        <w:r>
          <w:rPr>
            <w:rFonts w:ascii="Arial" w:hAnsi="Arial" w:eastAsia="Arial" w:cs="Arial"/>
            <w:b w:val="0"/>
            <w:i w:val="0"/>
            <w:strike w:val="0"/>
            <w:color w:val="0000ff"/>
            <w:sz w:val="20"/>
          </w:rPr>
          <w:t xml:space="preserve">Конституцией</w:t>
        </w:r>
      </w:hyperlink>
      <w:r>
        <w:rPr>
          <w:rFonts w:ascii="Arial" w:hAnsi="Arial" w:eastAsia="Arial" w:cs="Arial"/>
          <w:b w:val="0"/>
          <w:i w:val="0"/>
          <w:strike w:val="0"/>
          <w:sz w:val="20"/>
        </w:rPr>
        <w:t xml:space="preserve"> Российской Федерации, федеральными законами "</w:t>
      </w:r>
      <w:hyperlink r:id="rId19" w:tooltip="consultantplus://offline/ref=36965D7B2E0C84C6FB267770E660929D75779196264267BE7D03A79C890E589AF2C7BB30B5yCB4K" w:history="1">
        <w:r>
          <w:rPr>
            <w:rFonts w:ascii="Arial" w:hAnsi="Arial" w:eastAsia="Arial" w:cs="Arial"/>
            <w:b w:val="0"/>
            <w:i w:val="0"/>
            <w:strike w:val="0"/>
            <w:color w:val="0000ff"/>
            <w:sz w:val="20"/>
          </w:rPr>
          <w:t xml:space="preserve">Об общих принципах организации</w:t>
        </w:r>
      </w:hyperlink>
      <w:r>
        <w:rPr>
          <w:rFonts w:ascii="Arial" w:hAnsi="Arial" w:eastAsia="Arial" w:cs="Arial"/>
          <w:b w:val="0"/>
          <w:i w:val="0"/>
          <w:strike w:val="0"/>
          <w:sz w:val="20"/>
        </w:rPr>
        <w:t xml:space="preserve"> местного самоуправления в Российской Федерации", "</w:t>
      </w:r>
      <w:hyperlink r:id="rId20" w:tooltip="consultantplus://offline/ref=36965D7B2E0C84C6FB267770E660929D75779196264F67BE7D03A79C89y0BEK" w:history="1">
        <w:r>
          <w:rPr>
            <w:rFonts w:ascii="Arial" w:hAnsi="Arial" w:eastAsia="Arial" w:cs="Arial"/>
            <w:b w:val="0"/>
            <w:i w:val="0"/>
            <w:strike w:val="0"/>
            <w:color w:val="0000ff"/>
            <w:sz w:val="20"/>
          </w:rPr>
          <w:t xml:space="preserve">О муниципальной службе</w:t>
        </w:r>
      </w:hyperlink>
      <w:r>
        <w:rPr>
          <w:rFonts w:ascii="Arial" w:hAnsi="Arial" w:eastAsia="Arial" w:cs="Arial"/>
          <w:b w:val="0"/>
          <w:i w:val="0"/>
          <w:strike w:val="0"/>
          <w:sz w:val="20"/>
        </w:rPr>
        <w:t xml:space="preserve"> в Российской Федерации", законодательством Кемеровской области о муниципальной службе в Кемеровской области, </w:t>
      </w:r>
      <w:hyperlink r:id="rId21" w:tooltip="consultantplus://offline/ref=36965D7B2E0C84C6FB26697DF00CCE98707BC899254865EC275CFCC1DE0752CDyBB5K" w:history="1">
        <w:r>
          <w:rPr>
            <w:rFonts w:ascii="Arial" w:hAnsi="Arial" w:eastAsia="Arial" w:cs="Arial"/>
            <w:b w:val="0"/>
            <w:i w:val="0"/>
            <w:strike w:val="0"/>
            <w:color w:val="0000ff"/>
            <w:sz w:val="20"/>
          </w:rPr>
          <w:t xml:space="preserve">Уставом</w:t>
        </w:r>
      </w:hyperlink>
      <w:r>
        <w:rPr>
          <w:rFonts w:ascii="Arial" w:hAnsi="Arial" w:eastAsia="Arial" w:cs="Arial"/>
          <w:b w:val="0"/>
          <w:i w:val="0"/>
          <w:strike w:val="0"/>
          <w:sz w:val="20"/>
        </w:rPr>
        <w:t xml:space="preserve"> муниципального образования "Анжеро-Судженский городской округ", настоящим Положением, иными нормативными правовыми актами органов местного самоуправления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На муниципальных служащих распространяется действие законодательства Российской Федерации о труде с особенностями, предусмотренными федеральным и областным законодательством о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7" w:name="Par66"/>
      <w:r/>
      <w:bookmarkEnd w:id="7"/>
      <w:r>
        <w:rPr>
          <w:rFonts w:ascii="Arial" w:hAnsi="Arial" w:eastAsia="Arial" w:cs="Arial"/>
          <w:b w:val="0"/>
          <w:i w:val="0"/>
          <w:strike w:val="0"/>
          <w:sz w:val="20"/>
        </w:rPr>
        <w:t xml:space="preserve">Статья 3. Предметы ведения муниципального образования</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сфере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 предметам ведения муниципального образования в сфере муниципальной службы относятся: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регулирование в соответствии с федеральным и областным законодательством условий и порядка прохождения муниципальной службы, статуса муниципального служащего и управления муниципальной службой, требований к должностям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организация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установление и обеспечение гарантий муниципального образования для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разработка принятия местных программ развития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иные вопросы муниципальной службы, не исключенные из их ведения и не отнесенные к ведению органов государственной власти.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8" w:name="Par76"/>
      <w:r/>
      <w:bookmarkEnd w:id="8"/>
      <w:r>
        <w:rPr>
          <w:rFonts w:ascii="Arial" w:hAnsi="Arial" w:eastAsia="Arial" w:cs="Arial"/>
          <w:b w:val="0"/>
          <w:i w:val="0"/>
          <w:strike w:val="0"/>
          <w:sz w:val="20"/>
        </w:rPr>
        <w:t xml:space="preserve">Статья 4. Задачи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Задачами муниципальной службы являются: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обеспечение прав и свобод человека и гражданина на территории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защита прав и интересов муниципального образования "Анжеро-Судженский городской округ";</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обеспечение самостоятельности решения населением вопросов местного значения;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обеспечение исполнения полномочий Совета народных депутатов, главы городского округа, контрольно-счетной палаты городского округа, администрации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обеспечение исполнения </w:t>
      </w:r>
      <w:hyperlink r:id="rId22" w:tooltip="consultantplus://offline/ref=36965D7B2E0C84C6FB267770E660929D76789191281D30BC2C56A9y9B9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Федерации, федерального и областного законодательства, </w:t>
      </w:r>
      <w:hyperlink r:id="rId23" w:tooltip="consultantplus://offline/ref=36965D7B2E0C84C6FB26697DF00CCE98707BC899254865EC275CFCC1DE0752CDyBB5K" w:history="1">
        <w:r>
          <w:rPr>
            <w:rFonts w:ascii="Arial" w:hAnsi="Arial" w:eastAsia="Arial" w:cs="Arial"/>
            <w:b w:val="0"/>
            <w:i w:val="0"/>
            <w:strike w:val="0"/>
            <w:color w:val="0000ff"/>
            <w:sz w:val="20"/>
          </w:rPr>
          <w:t xml:space="preserve">Устава</w:t>
        </w:r>
      </w:hyperlink>
      <w:r>
        <w:rPr>
          <w:rFonts w:ascii="Arial" w:hAnsi="Arial" w:eastAsia="Arial" w:cs="Arial"/>
          <w:b w:val="0"/>
          <w:i w:val="0"/>
          <w:strike w:val="0"/>
          <w:sz w:val="20"/>
        </w:rPr>
        <w:t xml:space="preserve"> и иных нормативных правовых актов органов местного самоуправления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9" w:name="Par85"/>
      <w:r/>
      <w:bookmarkEnd w:id="9"/>
      <w:r>
        <w:rPr>
          <w:rFonts w:ascii="Arial" w:hAnsi="Arial" w:eastAsia="Arial" w:cs="Arial"/>
          <w:b w:val="0"/>
          <w:i w:val="0"/>
          <w:strike w:val="0"/>
          <w:sz w:val="20"/>
        </w:rPr>
        <w:t xml:space="preserve">Статья 5. Вопросы муниципальной службы,</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регулируемые настоящим Положением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Настоящим Положением устанавливается правовое регулирование следующих вопросов муниципальной службы в органах местного самоуправления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квалификационные требования к муниципальным служащим;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права и обязанности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гарантии при увольнении муниципальных служащих и в сфере пенсионного обеспечения;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порядок зачисления в резерв и нахождение в резерве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виды поощрений, применяемых к муниципальным служащим;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порядок привлечения муниципальных служащих к дисциплинарной ответственности;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служебное расследование в отношении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аттестация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иные вопросы муниципальной службы, отнесенные к ведению муниципальных образований федеральным и областным законодательством.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0" w:name="Par99"/>
      <w:r/>
      <w:bookmarkEnd w:id="10"/>
      <w:r>
        <w:rPr>
          <w:rFonts w:ascii="Arial" w:hAnsi="Arial" w:eastAsia="Arial" w:cs="Arial"/>
          <w:b w:val="0"/>
          <w:i w:val="0"/>
          <w:strike w:val="0"/>
          <w:sz w:val="20"/>
        </w:rPr>
        <w:t xml:space="preserve">Статья 6. Финансирование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Финансирование муниципальной службы осуществляется за счет средств местного бюджета.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11" w:name="Par103"/>
      <w:r/>
      <w:bookmarkEnd w:id="11"/>
      <w:r>
        <w:rPr>
          <w:rFonts w:ascii="Arial" w:hAnsi="Arial" w:eastAsia="Arial" w:cs="Arial"/>
          <w:b w:val="0"/>
          <w:i w:val="0"/>
          <w:strike w:val="0"/>
          <w:sz w:val="20"/>
        </w:rPr>
        <w:t xml:space="preserve">Глава 2. МУНИЦИПАЛЬНЫЕ ДОЛЖНОСТИ МУНИЦИПАЛЬНОЙ</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СЛУЖБЫ И ИХ КЛАССИФИКАЦИЯ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2" w:name="Par106"/>
      <w:r/>
      <w:bookmarkEnd w:id="12"/>
      <w:r>
        <w:rPr>
          <w:rFonts w:ascii="Arial" w:hAnsi="Arial" w:eastAsia="Arial" w:cs="Arial"/>
          <w:b w:val="0"/>
          <w:i w:val="0"/>
          <w:strike w:val="0"/>
          <w:sz w:val="20"/>
        </w:rPr>
        <w:t xml:space="preserve">Статья 7. Реестр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Реестр должностей - это систематизирующие сведения муниципальных служащих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Должности муниципальной службы устанавливаются муниципальными правовыми актами в соответствии с </w:t>
      </w:r>
      <w:hyperlink r:id="rId24" w:tooltip="consultantplus://offline/ref=36965D7B2E0C84C6FB26697DF00CCE98707BC899214F6CEB265CFCC1DE0752CDB588E272F9CF013FF389A7y2BFK" w:history="1">
        <w:r>
          <w:rPr>
            <w:rFonts w:ascii="Arial" w:hAnsi="Arial" w:eastAsia="Arial" w:cs="Arial"/>
            <w:b w:val="0"/>
            <w:i w:val="0"/>
            <w:strike w:val="0"/>
            <w:color w:val="0000ff"/>
            <w:sz w:val="20"/>
          </w:rPr>
          <w:t xml:space="preserve">реестром</w:t>
        </w:r>
      </w:hyperlink>
      <w:r>
        <w:rPr>
          <w:rFonts w:ascii="Arial" w:hAnsi="Arial" w:eastAsia="Arial" w:cs="Arial"/>
          <w:b w:val="0"/>
          <w:i w:val="0"/>
          <w:strike w:val="0"/>
          <w:sz w:val="20"/>
        </w:rPr>
        <w:t xml:space="preserve"> должностей муниципальной службы согласно приложению N 1 к Закону Кемеровской области "О некоторых вопросах прохождения муниципальной службы" N 103-ОЗ от 30 июня 2007 года.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Допускается двойное наименование должности муниципальной службы в случае, если: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главы муниципального образования является руководителем структурного подразделения исполнительно-распорядительного органа 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руководителя структурного подразделения органа местного самоуправления является руководителем отдела, сектора этого же структурного подразделения.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В Анжеро-Судженском городском округе веде</w:t>
      </w:r>
      <w:r>
        <w:rPr>
          <w:rFonts w:ascii="Arial" w:hAnsi="Arial" w:eastAsia="Arial" w:cs="Arial"/>
          <w:b w:val="0"/>
          <w:i w:val="0"/>
          <w:strike w:val="0"/>
          <w:sz w:val="20"/>
        </w:rPr>
        <w:t xml:space="preserve">тся реестр муниципальных служащих. Ведение реестра муниципальных служащих возлагается на кадровую службу администрации городского округа. Порядок ведения реестра определяется нормативным актом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3" w:name="Par115"/>
      <w:r/>
      <w:bookmarkEnd w:id="13"/>
      <w:r>
        <w:rPr>
          <w:rFonts w:ascii="Arial" w:hAnsi="Arial" w:eastAsia="Arial" w:cs="Arial"/>
          <w:b w:val="0"/>
          <w:i w:val="0"/>
          <w:strike w:val="0"/>
          <w:sz w:val="20"/>
        </w:rPr>
        <w:t xml:space="preserve">Статья 8. Классификация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Должности муниципальной службы подразделяются на следующие группы: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высшие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главные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ведущие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старшие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младшие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Соотношение должностей муниципальной службы и должностей государ</w:t>
      </w:r>
      <w:r>
        <w:rPr>
          <w:rFonts w:ascii="Arial" w:hAnsi="Arial" w:eastAsia="Arial" w:cs="Arial"/>
          <w:b w:val="0"/>
          <w:i w:val="0"/>
          <w:strike w:val="0"/>
          <w:sz w:val="20"/>
        </w:rPr>
        <w:t xml:space="preserve">ственной гражданской службы Кемеровской области с учетом квалификационных требований к соответствующим должностям муниципальной службы и должностям государственной гражданской службы Кемеровской службы устанавливается законом субъекта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Содержание должностных обязанностей муниципальных служащих, порядок исполнен</w:t>
      </w:r>
      <w:r>
        <w:rPr>
          <w:rFonts w:ascii="Arial" w:hAnsi="Arial" w:eastAsia="Arial" w:cs="Arial"/>
          <w:b w:val="0"/>
          <w:i w:val="0"/>
          <w:strike w:val="0"/>
          <w:sz w:val="20"/>
        </w:rPr>
        <w:t xml:space="preserve">ия ими должностных полномочий, иных процедур, связанных с деятельностью органов местного самоуправления, устанавливаются нормативными правовыми актами руководителей органов местного самоуправления в соответствии с федеральным и областным законодательством.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14" w:name="Par126"/>
      <w:r/>
      <w:bookmarkEnd w:id="14"/>
      <w:r>
        <w:rPr>
          <w:rFonts w:ascii="Arial" w:hAnsi="Arial" w:eastAsia="Arial" w:cs="Arial"/>
          <w:b w:val="0"/>
          <w:i w:val="0"/>
          <w:strike w:val="0"/>
          <w:sz w:val="20"/>
        </w:rPr>
        <w:t xml:space="preserve">Глава 3. ПРАВОВОЕ ПОЛОЖЕНИЕ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5" w:name="Par128"/>
      <w:r/>
      <w:bookmarkEnd w:id="15"/>
      <w:r>
        <w:rPr>
          <w:rFonts w:ascii="Arial" w:hAnsi="Arial" w:eastAsia="Arial" w:cs="Arial"/>
          <w:b w:val="0"/>
          <w:i w:val="0"/>
          <w:strike w:val="0"/>
          <w:sz w:val="20"/>
        </w:rPr>
        <w:t xml:space="preserve">Статья 9. Основные права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Муниципальный служащий имеет право на: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обеспечение организационно-технических условий, необходимых для исполнения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оплату труда и другие выплаты в соответствии с трудовым законодательством, законодательством о муниципальной службе и трудовым договором (контрактом);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участие по своей инициативе в конкурсе на замещение вакантной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повышение квалификации в соответствии с муниципальным правовым актом за счет средств местного бюджета;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защиту своих персональных данных;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10) объединение, включая право создавать профессиональные союзы, для защиты своих прав, социально-экономических и профессиональных интересов;</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11) рассмотрение индивидуальных трудовых споров в соответствии с трудовым законодательством, защиту своих прав и законных интересов на муниципальной службе, включая обжалование в суд их нарушений;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12) пенсионное обеспечение в соответствии с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за исключением муниципального служащего, замещающего должность главы мес</w:t>
      </w:r>
      <w:r>
        <w:rPr>
          <w:rFonts w:ascii="Arial" w:hAnsi="Arial" w:eastAsia="Arial" w:cs="Arial"/>
          <w:b w:val="0"/>
          <w:i w:val="0"/>
          <w:strike w:val="0"/>
          <w:sz w:val="20"/>
        </w:rPr>
        <w:t xml:space="preserve">тной администрации по контракту, вправе с предварительным письменным уведомлением представителя нанимателя (работодателя) выполнять иную оплачиваемую работу, если это не повлечет за собой конфликт интересов и если иное не предусмотрено Федеральным законом.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6" w:name="Par145"/>
      <w:r/>
      <w:bookmarkEnd w:id="16"/>
      <w:r>
        <w:rPr>
          <w:rFonts w:ascii="Arial" w:hAnsi="Arial" w:eastAsia="Arial" w:cs="Arial"/>
          <w:b w:val="0"/>
          <w:i w:val="0"/>
          <w:strike w:val="0"/>
          <w:sz w:val="20"/>
        </w:rPr>
        <w:t xml:space="preserve">Статья 10. Основные обязанности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Муниципальный служащий обязан:</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соблюдать </w:t>
      </w:r>
      <w:hyperlink r:id="rId25" w:tooltip="consultantplus://offline/ref=36965D7B2E0C84C6FB267770E660929D76789191281D30BC2C56A9y9B9K" w:history="1">
        <w:r>
          <w:rPr>
            <w:rFonts w:ascii="Arial" w:hAnsi="Arial" w:eastAsia="Arial" w:cs="Arial"/>
            <w:b w:val="0"/>
            <w:i w:val="0"/>
            <w:strike w:val="0"/>
            <w:color w:val="0000ff"/>
            <w:sz w:val="20"/>
          </w:rPr>
          <w:t xml:space="preserve">Конституцию</w:t>
        </w:r>
      </w:hyperlink>
      <w:r>
        <w:rPr>
          <w:rFonts w:ascii="Arial" w:hAnsi="Arial" w:eastAsia="Arial" w:cs="Arial"/>
          <w:b w:val="0"/>
          <w:i w:val="0"/>
          <w:strike w:val="0"/>
          <w:sz w:val="20"/>
        </w:rPr>
        <w:t xml:space="preserve"> Российской Федерации, федеральные конституционные законы, федеральные законы, иные нормативные правовые акты Российской Федерации, </w:t>
      </w:r>
      <w:hyperlink r:id="rId26" w:tooltip="consultantplus://offline/ref=36965D7B2E0C84C6FB26697DF00CCE98707BC899264E6BE1265CFCC1DE0752CDyBB5K" w:history="1">
        <w:r>
          <w:rPr>
            <w:rFonts w:ascii="Arial" w:hAnsi="Arial" w:eastAsia="Arial" w:cs="Arial"/>
            <w:b w:val="0"/>
            <w:i w:val="0"/>
            <w:strike w:val="0"/>
            <w:color w:val="0000ff"/>
            <w:sz w:val="20"/>
          </w:rPr>
          <w:t xml:space="preserve">Устав</w:t>
        </w:r>
      </w:hyperlink>
      <w:r>
        <w:rPr>
          <w:rFonts w:ascii="Arial" w:hAnsi="Arial" w:eastAsia="Arial" w:cs="Arial"/>
          <w:b w:val="0"/>
          <w:i w:val="0"/>
          <w:strike w:val="0"/>
          <w:sz w:val="20"/>
        </w:rPr>
        <w:t xml:space="preserve">, законы и иные нормативные правовые акты Кемеровской области, устав муниципального образования и иные муниципальные правовые акты и обеспечивать их исполнение;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исполнять должностные обязанности в соответствии с должностной инструкцией;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соблюдать установленные в органе местного самоуправления, аппарате избирательной комиссии муниципального образования правила внутреннего трудового распорядка, должностную инструкцию, порядок работы со служебной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поддерживать уровень квалификации, необходимый для надлежащего исполнения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не разглашать сведения, составляющие гос</w:t>
      </w:r>
      <w:r>
        <w:rPr>
          <w:rFonts w:ascii="Arial" w:hAnsi="Arial" w:eastAsia="Arial" w:cs="Arial"/>
          <w:b w:val="0"/>
          <w:i w:val="0"/>
          <w:strike w:val="0"/>
          <w:sz w:val="20"/>
        </w:rPr>
        <w:t xml:space="preserve">ударственную и иную охраняемую федеральными законами 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беречь государственное и муниципальное имущество, в том числе предоставленное ему для исполнения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представлять в установленном порядке предусмотренные законодательством Российской Федерации сведения о себе и членах своей семьи;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с</w:t>
      </w:r>
      <w:r>
        <w:rPr>
          <w:rFonts w:ascii="Arial" w:hAnsi="Arial" w:eastAsia="Arial" w:cs="Arial"/>
          <w:b w:val="0"/>
          <w:i w:val="0"/>
          <w:strike w:val="0"/>
          <w:sz w:val="20"/>
        </w:rPr>
        <w:t xml:space="preserve">ообщать представителю нанимателя (работодателю) о выходе из гражданства Российской Федерации в день выхода из гражданства Российской Федерации или о приобретении гражданства иностранного государства в день приобретения гражданства иностранного государства;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10) соблюдать ограничения, выполнять обязательства, не нарушать запреты, которые установлены Федеральным </w:t>
      </w:r>
      <w:hyperlink r:id="rId27" w:tooltip="consultantplus://offline/ref=36965D7B2E0C84C6FB267770E660929D75779196264F67BE7D03A79C89y0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 муниципальной службе в Российской Федерации", другими федеральными законами и законами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11) уведомлять в письменной форме своего непосредственного начальника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подобного конфликта.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не вправе исполнять данное ему неправомерное поручение. При получении от соответствующего руководителя поручения, являю</w:t>
      </w:r>
      <w:r>
        <w:rPr>
          <w:rFonts w:ascii="Arial" w:hAnsi="Arial" w:eastAsia="Arial" w:cs="Arial"/>
          <w:b w:val="0"/>
          <w:i w:val="0"/>
          <w:strike w:val="0"/>
          <w:sz w:val="20"/>
        </w:rPr>
        <w:t xml:space="preserve">щегося, по мнению муниципального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w:t>
      </w:r>
      <w:r>
        <w:rPr>
          <w:rFonts w:ascii="Arial" w:hAnsi="Arial" w:eastAsia="Arial" w:cs="Arial"/>
          <w:b w:val="0"/>
          <w:i w:val="0"/>
          <w:strike w:val="0"/>
          <w:sz w:val="20"/>
        </w:rPr>
        <w:t xml:space="preserve">ных правовых актов Российской Федерации, законов и иных нормативных правовых актов Кемеровской области, муниципальных правовых актов, которые могут быть нарушены при исполнении данного поручения. В случае подтверждения руководителем данного поручения в пис</w:t>
      </w:r>
      <w:r>
        <w:rPr>
          <w:rFonts w:ascii="Arial" w:hAnsi="Arial" w:eastAsia="Arial" w:cs="Arial"/>
          <w:b w:val="0"/>
          <w:i w:val="0"/>
          <w:strike w:val="0"/>
          <w:sz w:val="20"/>
        </w:rPr>
        <w:t xml:space="preserve">ьменной форме муниципальный служащий обязан отказаться от его исполнения. В случае исполнения неправомерного поручения муниципальный служащий и давший это поручение руководитель несут ответственность в соответствии с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7" w:name="Par161"/>
      <w:r/>
      <w:bookmarkEnd w:id="17"/>
      <w:r>
        <w:rPr>
          <w:rFonts w:ascii="Arial" w:hAnsi="Arial" w:eastAsia="Arial" w:cs="Arial"/>
          <w:b w:val="0"/>
          <w:i w:val="0"/>
          <w:strike w:val="0"/>
          <w:sz w:val="20"/>
        </w:rPr>
        <w:t xml:space="preserve">Статья 11. Ограничения, связанные с муниципальной службой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Гражданин не может быть принят на муниципальную службу, а муниципальный служащий не может находиться на муниципальной службе в случае: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признания его недееспособным или ограниченно дееспособным решением суда, вступившим в законную силу;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осуждения его к наказанию, исключающему возможность исполнения должностных обязанностей по должности муниципальной службы, по приговору суда, вступившему в законную силу;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отказа от прохождения процедуры оформления допуска к сведениям, составляющим государственную и иную охраняемую феде</w:t>
      </w:r>
      <w:r>
        <w:rPr>
          <w:rFonts w:ascii="Arial" w:hAnsi="Arial" w:eastAsia="Arial" w:cs="Arial"/>
          <w:b w:val="0"/>
          <w:i w:val="0"/>
          <w:strike w:val="0"/>
          <w:sz w:val="20"/>
        </w:rPr>
        <w:t xml:space="preserve">ральными законами тайну, если исполнение должностных обязанностей по должности муниципальной службы, на замещение которой претендует гражданин, или по замещаемой муниципальным служащим должности муниципальной службы связано с использованием таких сведений;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наличия заболевания, препятствующего поступлению н</w:t>
      </w:r>
      <w:r>
        <w:rPr>
          <w:rFonts w:ascii="Arial" w:hAnsi="Arial" w:eastAsia="Arial" w:cs="Arial"/>
          <w:b w:val="0"/>
          <w:i w:val="0"/>
          <w:strike w:val="0"/>
          <w:sz w:val="20"/>
        </w:rPr>
        <w:t xml:space="preserve">а муниципальную службу или ее прохождению и подтвержденного заключением медицинской организации. Порядок прохождения диспансеризации, перечень таких заболеваний и форма заключения медицинской организации устанавливаются Правительством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18" w:name="Par168"/>
      <w:r/>
      <w:bookmarkEnd w:id="18"/>
      <w:r>
        <w:rPr>
          <w:rFonts w:ascii="Arial" w:hAnsi="Arial" w:eastAsia="Arial" w:cs="Arial"/>
          <w:b w:val="0"/>
          <w:i w:val="0"/>
          <w:strike w:val="0"/>
          <w:sz w:val="20"/>
        </w:rPr>
        <w:t xml:space="preserve">5) бл</w:t>
      </w:r>
      <w:r>
        <w:rPr>
          <w:rFonts w:ascii="Arial" w:hAnsi="Arial" w:eastAsia="Arial" w:cs="Arial"/>
          <w:b w:val="0"/>
          <w:i w:val="0"/>
          <w:strike w:val="0"/>
          <w:sz w:val="20"/>
        </w:rPr>
        <w:t xml:space="preserve">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 который возглавляет местную администрацию, если замещение должности муниципальной сл</w:t>
      </w:r>
      <w:r>
        <w:rPr>
          <w:rFonts w:ascii="Arial" w:hAnsi="Arial" w:eastAsia="Arial" w:cs="Arial"/>
          <w:b w:val="0"/>
          <w:i w:val="0"/>
          <w:strike w:val="0"/>
          <w:sz w:val="20"/>
        </w:rPr>
        <w:t xml:space="preserve">ужбы связано 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подконтрольностью одного из них другому;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w:t>
      </w:r>
      <w:r>
        <w:rPr>
          <w:rFonts w:ascii="Arial" w:hAnsi="Arial" w:eastAsia="Arial" w:cs="Arial"/>
          <w:b w:val="0"/>
          <w:i w:val="0"/>
          <w:strike w:val="0"/>
          <w:sz w:val="20"/>
        </w:rPr>
        <w:t xml:space="preserve">й гражданин имеет право находиться на муниципальной службе,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w:t>
      </w:r>
      <w:r>
        <w:rPr>
          <w:rFonts w:ascii="Arial" w:hAnsi="Arial" w:eastAsia="Arial" w:cs="Arial"/>
          <w:b w:val="0"/>
          <w:i w:val="0"/>
          <w:strike w:val="0"/>
          <w:sz w:val="20"/>
        </w:rPr>
        <w:t xml:space="preserve">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находиться на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наличия гражданства иностранного государства (иностранных государс</w:t>
      </w:r>
      <w:r>
        <w:rPr>
          <w:rFonts w:ascii="Arial" w:hAnsi="Arial" w:eastAsia="Arial" w:cs="Arial"/>
          <w:b w:val="0"/>
          <w:i w:val="0"/>
          <w:strike w:val="0"/>
          <w:sz w:val="20"/>
        </w:rPr>
        <w:t xml:space="preserve">тв), за исключением случаев, когда муниципальный служащий является гражданином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представления подложных документов или заведомо ложных сведений при поступлении на муниципальную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непредставления предусмотренных настоящим Федеральным законом, Федеральным </w:t>
      </w:r>
      <w:hyperlink r:id="rId28" w:tooltip="consultantplus://offline/ref=36965D7B2E0C84C6FB267770E660929D75779491264867BE7D03A79C89y0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25 декабря 2008 года N 273-ФЗ "О противодействии коррупции" и другими федеральными законами сведений или представления заведомо недостоверных или неполных сведений при поступлении на муниципальную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10)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Гражданин не может быть назначен на должность главы местной администрации по контракту, а муниципальный служ</w:t>
      </w:r>
      <w:r>
        <w:rPr>
          <w:rFonts w:ascii="Arial" w:hAnsi="Arial" w:eastAsia="Arial" w:cs="Arial"/>
          <w:b w:val="0"/>
          <w:i w:val="0"/>
          <w:strike w:val="0"/>
          <w:sz w:val="20"/>
        </w:rPr>
        <w:t xml:space="preserve">ащий не может замещать должность главы местной администрации по контракту в случае близкого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Гражданин не может быть принят на муниципальную службу после достижения им возраста 65 лет - предельного возраста, установленного для замещения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19" w:name="Par177"/>
      <w:r/>
      <w:bookmarkEnd w:id="19"/>
      <w:r>
        <w:rPr>
          <w:rFonts w:ascii="Arial" w:hAnsi="Arial" w:eastAsia="Arial" w:cs="Arial"/>
          <w:b w:val="0"/>
          <w:i w:val="0"/>
          <w:strike w:val="0"/>
          <w:sz w:val="20"/>
        </w:rPr>
        <w:t xml:space="preserve">Статья 12. Запреты, связанные с муниципальной службой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В связи с прохождением муниципальной службы муниципальному служащему запрещается: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замещать должность муниципальной службы в случае: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 избрания или назначения на государственную должность Российской Федерации либо на государственную должность Кемеровской области, а также в случае назначения на должность государственной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б) избрания или назначения на муниципальную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избрания на оплачиваемую выборную должность в органе профессионального союза, в том числе в выборном органе первичной профсоюзной организации, созданной в органе местного самоуправления, аппарате избирательной комиссии 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заниматься предпринимательской деятельностью лично или через доверенных лиц, а также участвовать в управлении хозяйствующим субъе</w:t>
      </w:r>
      <w:r>
        <w:rPr>
          <w:rFonts w:ascii="Arial" w:hAnsi="Arial" w:eastAsia="Arial" w:cs="Arial"/>
          <w:b w:val="0"/>
          <w:i w:val="0"/>
          <w:strike w:val="0"/>
          <w:sz w:val="20"/>
        </w:rPr>
        <w:t xml:space="preserve">ктом (за исключением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и профсоюза, зарегистрированного в установленном порядке), если ин</w:t>
      </w:r>
      <w:r>
        <w:rPr>
          <w:rFonts w:ascii="Arial" w:hAnsi="Arial" w:eastAsia="Arial" w:cs="Arial"/>
          <w:b w:val="0"/>
          <w:i w:val="0"/>
          <w:strike w:val="0"/>
          <w:sz w:val="20"/>
        </w:rPr>
        <w:t xml:space="preserve">ое не предусмотрено федеральными законами или если в порядке, установленном муниципальным правовым актом в соответствии с федеральными законами и законами Кемеровской области Российской Федерации, ему не поручено участвовать в управлении этой организацией;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быть поверенным или представителем по делам третьих лиц в органе местного самоуправления, в котором он замещает должность муниципальной службы либо который непосредственно подчинен или подконтролен ему, если иное не предусмотрено федеральными законами;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получать в связи с должностным положением или в связи с исполнением должностных обязанностей вознаграждения от физических и </w:t>
      </w:r>
      <w:r>
        <w:rPr>
          <w:rFonts w:ascii="Arial" w:hAnsi="Arial" w:eastAsia="Arial" w:cs="Arial"/>
          <w:b w:val="0"/>
          <w:i w:val="0"/>
          <w:strike w:val="0"/>
          <w:sz w:val="20"/>
        </w:rPr>
        <w:t xml:space="preserve">юридических лиц (подарки, денежное вознаграждение, ссуды, услуги, оплату развлечений, отдыха, транспортных расходов и иные вознаграждения). Подарки, полученные муниципальным служащим в связи с протокольными мероприятиями, со служебными командировками и с д</w:t>
      </w:r>
      <w:r>
        <w:rPr>
          <w:rFonts w:ascii="Arial" w:hAnsi="Arial" w:eastAsia="Arial" w:cs="Arial"/>
          <w:b w:val="0"/>
          <w:i w:val="0"/>
          <w:strike w:val="0"/>
          <w:sz w:val="20"/>
        </w:rPr>
        <w:t xml:space="preserve">ругими официальными мероприятиями, признаются муниципальной собственностью и передаются муниципальным служащим по акту в орган местного самоуправления, в котором он замещает должность муниципальной службы, за исключением случаев, установленных Гражданским </w:t>
      </w:r>
      <w:hyperlink r:id="rId29" w:tooltip="consultantplus://offline/ref=044D5261D4C39E8210906B11CAD285B1FDA9E5D482423599011AF7D8A6z5BEK" w:history="1">
        <w:r>
          <w:rPr>
            <w:rFonts w:ascii="Arial" w:hAnsi="Arial" w:eastAsia="Arial" w:cs="Arial"/>
            <w:b w:val="0"/>
            <w:i w:val="0"/>
            <w:strike w:val="0"/>
            <w:color w:val="0000ff"/>
            <w:sz w:val="20"/>
          </w:rPr>
          <w:t xml:space="preserve">кодексом</w:t>
        </w:r>
      </w:hyperlink>
      <w:r>
        <w:rPr>
          <w:rFonts w:ascii="Arial" w:hAnsi="Arial" w:eastAsia="Arial" w:cs="Arial"/>
          <w:b w:val="0"/>
          <w:i w:val="0"/>
          <w:strike w:val="0"/>
          <w:sz w:val="20"/>
        </w:rPr>
        <w:t xml:space="preserve">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выезжать в командировки за счет средств физических и юридических лиц, за исключением командировок, осуществляемых на взаимной основе по договоренности органа местного самоуправления, избирательной комиссии муниципального образования с</w:t>
      </w:r>
      <w:r>
        <w:rPr>
          <w:rFonts w:ascii="Arial" w:hAnsi="Arial" w:eastAsia="Arial" w:cs="Arial"/>
          <w:b w:val="0"/>
          <w:i w:val="0"/>
          <w:strike w:val="0"/>
          <w:sz w:val="20"/>
        </w:rPr>
        <w:t xml:space="preserve"> органами местного самоуправления, избирательными комиссиями других муниципальных образований, а также с органами государственной власти и органами местного самоуправления иностранных государств, международными и иностранными некоммерческими организациями;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использовать в целях, не связанных с исполнением должностных обязанностей, средства материально-технического, финансового и иного обеспечения, другое муниципальное имущество;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разглашать или и</w:t>
      </w:r>
      <w:r>
        <w:rPr>
          <w:rFonts w:ascii="Arial" w:hAnsi="Arial" w:eastAsia="Arial" w:cs="Arial"/>
          <w:b w:val="0"/>
          <w:i w:val="0"/>
          <w:strike w:val="0"/>
          <w:sz w:val="20"/>
        </w:rPr>
        <w:t xml:space="preserve">спользовать в целях, не связанных с муниципальной службой, сведения, отнесенные в соответствии с федеральными законами к сведениям конфиденциального характера, или служебную информацию, ставшие ему известными в связи с исполнением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допускать публичные</w:t>
      </w:r>
      <w:r>
        <w:rPr>
          <w:rFonts w:ascii="Arial" w:hAnsi="Arial" w:eastAsia="Arial" w:cs="Arial"/>
          <w:b w:val="0"/>
          <w:i w:val="0"/>
          <w:strike w:val="0"/>
          <w:sz w:val="20"/>
        </w:rPr>
        <w:t xml:space="preserve"> высказывания, суждения и оценки, в том числе в средствах массовой информации, в отношении деятельности органа местного самоуправления, избирательной комиссии муниципального образования и их руководите лей, если это не входит в его должностные обязанности;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принимать без письменного разрешения главы муниципального образования награды, почетные и специальные звания (за искл</w:t>
      </w:r>
      <w:r>
        <w:rPr>
          <w:rFonts w:ascii="Arial" w:hAnsi="Arial" w:eastAsia="Arial" w:cs="Arial"/>
          <w:b w:val="0"/>
          <w:i w:val="0"/>
          <w:strike w:val="0"/>
          <w:sz w:val="20"/>
        </w:rPr>
        <w:t xml:space="preserve">ючением научных) иностранных государств, международных организаций, а также политических партий, других общественных объединений и религиозных объединений, если в его должностные обязанности входит взаимодействие с указанными организациями и объединениями;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10) использовать преимущества должностного положения для предвыборной агитации, а также для агитации по вопросам референдума;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11) использовать свое должностное положение в интересах политических партий, религиозных и других общественных объединений, а также публично выражать отношение к указанным объединениям в качестве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12) создавать в органах местного самоуправления, ин</w:t>
      </w:r>
      <w:r>
        <w:rPr>
          <w:rFonts w:ascii="Arial" w:hAnsi="Arial" w:eastAsia="Arial" w:cs="Arial"/>
          <w:b w:val="0"/>
          <w:i w:val="0"/>
          <w:strike w:val="0"/>
          <w:sz w:val="20"/>
        </w:rPr>
        <w:t xml:space="preserve">ых муниципальных органах структуры политических партий, религиозных и других общественных объединений (за исключением профессиональных союзов, а также ветеранских и иных органов общественной самодеятельности) или способствовать созданию указанных структур;</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13) прекращать исполнение должностных обязанностей в целях урегулирования трудового спора;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14) входить в состав органов управления, попечительских или наблюдательных советов, иных орган</w:t>
      </w:r>
      <w:r>
        <w:rPr>
          <w:rFonts w:ascii="Arial" w:hAnsi="Arial" w:eastAsia="Arial" w:cs="Arial"/>
          <w:b w:val="0"/>
          <w:i w:val="0"/>
          <w:strike w:val="0"/>
          <w:sz w:val="20"/>
        </w:rPr>
        <w:t xml:space="preserve">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15) заниматься без письменного разрешения представителя нанимателя (работодателя) оплачиваемой деятельностью, финансируем</w:t>
      </w:r>
      <w:r>
        <w:rPr>
          <w:rFonts w:ascii="Arial" w:hAnsi="Arial" w:eastAsia="Arial" w:cs="Arial"/>
          <w:b w:val="0"/>
          <w:i w:val="0"/>
          <w:strike w:val="0"/>
          <w:sz w:val="20"/>
        </w:rPr>
        <w:t xml:space="preserve">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замещающий должность главы местной администрации по контракту, не вправе заниматься иной оплачиваемой деятельностью, за исключением преподавательской, научной и иной творческой деятельности. При этом преподавател</w:t>
      </w:r>
      <w:r>
        <w:rPr>
          <w:rFonts w:ascii="Arial" w:hAnsi="Arial" w:eastAsia="Arial" w:cs="Arial"/>
          <w:b w:val="0"/>
          <w:i w:val="0"/>
          <w:strike w:val="0"/>
          <w:sz w:val="20"/>
        </w:rPr>
        <w:t xml:space="preserve">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w:t>
      </w:r>
      <w:r>
        <w:rPr>
          <w:rFonts w:ascii="Arial" w:hAnsi="Arial" w:eastAsia="Arial" w:cs="Arial"/>
          <w:b w:val="0"/>
          <w:i w:val="0"/>
          <w:strike w:val="0"/>
          <w:sz w:val="20"/>
        </w:rPr>
        <w:t xml:space="preserve">ром Российской Федерации или законодательством Российской Федерации. Муниципальный служащий, замещающий должность главы местной администрации по контракту, не вправе входить в состав органов управления, попечительских или наблюдательных советов, иных орган</w:t>
      </w:r>
      <w:r>
        <w:rPr>
          <w:rFonts w:ascii="Arial" w:hAnsi="Arial" w:eastAsia="Arial" w:cs="Arial"/>
          <w:b w:val="0"/>
          <w:i w:val="0"/>
          <w:strike w:val="0"/>
          <w:sz w:val="20"/>
        </w:rPr>
        <w:t xml:space="preserve">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Гражданин</w:t>
      </w:r>
      <w:r>
        <w:rPr>
          <w:rFonts w:ascii="Arial" w:hAnsi="Arial" w:eastAsia="Arial" w:cs="Arial"/>
          <w:b w:val="0"/>
          <w:i w:val="0"/>
          <w:strike w:val="0"/>
          <w:sz w:val="20"/>
        </w:rPr>
        <w:t xml:space="preserve"> после увольнения с муниципальной службы не вправе разглашать или использовать в интересах организаций либо физических лиц сведения конфиденциального характера или служебную информацию, ставшие ему известными в связи с исполнением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Гражданин, замещавший должность муниципальной службы, вклю</w:t>
      </w:r>
      <w:r>
        <w:rPr>
          <w:rFonts w:ascii="Arial" w:hAnsi="Arial" w:eastAsia="Arial" w:cs="Arial"/>
          <w:b w:val="0"/>
          <w:i w:val="0"/>
          <w:strike w:val="0"/>
          <w:sz w:val="20"/>
        </w:rPr>
        <w:t xml:space="preserve">ченную в перечень должностей, установленный нормативными правовыми актами Российской Федерации, в течение двух лет после увольнения с муниципальной службы не вправе замещать на условиях трудового договора должности в организации и (или) выполнять в данной </w:t>
      </w:r>
      <w:r>
        <w:rPr>
          <w:rFonts w:ascii="Arial" w:hAnsi="Arial" w:eastAsia="Arial" w:cs="Arial"/>
          <w:b w:val="0"/>
          <w:i w:val="0"/>
          <w:strike w:val="0"/>
          <w:sz w:val="20"/>
        </w:rPr>
        <w:t xml:space="preserve">организации работу на условиях гражданско-правового договора в случаях, предусмотренных федеральными законами, если отдельные функции муниципального (административного) управления данной организацией входили в должностные (служебные) обязанности муниципаль</w:t>
      </w:r>
      <w:r>
        <w:rPr>
          <w:rFonts w:ascii="Arial" w:hAnsi="Arial" w:eastAsia="Arial" w:cs="Arial"/>
          <w:b w:val="0"/>
          <w:i w:val="0"/>
          <w:strike w:val="0"/>
          <w:sz w:val="20"/>
        </w:rPr>
        <w:t xml:space="preserve">ного служащего, без согласия соответствующей комиссии по соблюдению требований к служебному поведению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0" w:name="Par202"/>
      <w:r/>
      <w:bookmarkEnd w:id="20"/>
      <w:r>
        <w:rPr>
          <w:rFonts w:ascii="Arial" w:hAnsi="Arial" w:eastAsia="Arial" w:cs="Arial"/>
          <w:b w:val="0"/>
          <w:i w:val="0"/>
          <w:strike w:val="0"/>
          <w:sz w:val="20"/>
        </w:rPr>
        <w:t xml:space="preserve">Статья 13. Урегулирование конфликта интересов</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Под конфликтом интересов понимается ситуация, при которой личная заинтересованность (прямая или косвенная) муниципального служащего влияет или може</w:t>
      </w:r>
      <w:r>
        <w:rPr>
          <w:rFonts w:ascii="Arial" w:hAnsi="Arial" w:eastAsia="Arial" w:cs="Arial"/>
          <w:b w:val="0"/>
          <w:i w:val="0"/>
          <w:strike w:val="0"/>
          <w:sz w:val="20"/>
        </w:rPr>
        <w:t xml:space="preserve">т повлиять на объективное исполнение им должностных обязанностей и при которой возникает или может возникнуть противоречие между личной заинтересованностью (прямой или косвенной) муниципального служащего и законными интересами граждан, организаций, обществ</w:t>
      </w:r>
      <w:r>
        <w:rPr>
          <w:rFonts w:ascii="Arial" w:hAnsi="Arial" w:eastAsia="Arial" w:cs="Arial"/>
          <w:b w:val="0"/>
          <w:i w:val="0"/>
          <w:strike w:val="0"/>
          <w:sz w:val="20"/>
        </w:rPr>
        <w:t xml:space="preserve">, Российской Федерации, субъекта Российской Федерации, муниципального образования, способное привести к причинению вреда этим законным интересам граждан, организаций, обществ, Российской Федерации, субъекта Российской Федерации, 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Под личной заинтересованностью муниципального служащего понимается возможность получения</w:t>
      </w:r>
      <w:r>
        <w:rPr>
          <w:rFonts w:ascii="Arial" w:hAnsi="Arial" w:eastAsia="Arial" w:cs="Arial"/>
          <w:b w:val="0"/>
          <w:i w:val="0"/>
          <w:strike w:val="0"/>
          <w:sz w:val="20"/>
        </w:rPr>
        <w:t xml:space="preserve"> муниципальным служащим при исполнении должностных обязанностей доходов (неосновательного обогащения) в денежной либо натуральной форме, доходов в виде материальной выгоды непосредственно для муниципального служащего, членов его семьи или лиц, указанных в </w:t>
      </w:r>
      <w:hyperlink w:history="1">
        <w:r>
          <w:rPr>
            <w:rFonts w:ascii="Arial" w:hAnsi="Arial" w:eastAsia="Arial" w:cs="Arial"/>
            <w:b w:val="0"/>
            <w:i w:val="0"/>
            <w:strike w:val="0"/>
            <w:color w:val="0000ff"/>
            <w:sz w:val="20"/>
          </w:rPr>
          <w:t xml:space="preserve">пункте 5 части 1 статьи 11</w:t>
        </w:r>
      </w:hyperlink>
      <w:r>
        <w:rPr>
          <w:rFonts w:ascii="Arial" w:hAnsi="Arial" w:eastAsia="Arial" w:cs="Arial"/>
          <w:b w:val="0"/>
          <w:i w:val="0"/>
          <w:strike w:val="0"/>
          <w:sz w:val="20"/>
        </w:rPr>
        <w:t xml:space="preserve"> Положения, а также для граждан или организаций, с которыми муниципальный служащий связан финансовыми или иными обязательствами.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Предотвращение или урегулирование конфликта интересов может состоять в изменении должностного или служебного положени</w:t>
      </w:r>
      <w:r>
        <w:rPr>
          <w:rFonts w:ascii="Arial" w:hAnsi="Arial" w:eastAsia="Arial" w:cs="Arial"/>
          <w:b w:val="0"/>
          <w:i w:val="0"/>
          <w:strike w:val="0"/>
          <w:sz w:val="20"/>
        </w:rPr>
        <w:t xml:space="preserve">я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его отказе от выгоды, явившейся причиной возникновения конфликта интересов.</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В случае, если владение лицом, замещающим должность муниципальной службы, ценными бумагами, акциями (долями участия, паями в уставных (складочных) капиталах организаций) приводит или может привести</w:t>
      </w:r>
      <w:r>
        <w:rPr>
          <w:rFonts w:ascii="Arial" w:hAnsi="Arial" w:eastAsia="Arial" w:cs="Arial"/>
          <w:b w:val="0"/>
          <w:i w:val="0"/>
          <w:strike w:val="0"/>
          <w:sz w:val="20"/>
        </w:rPr>
        <w:t xml:space="preserve"> к конфликту интересов, указанное лицо обязано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Непринятие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муниципального служащего с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Представит</w:t>
      </w:r>
      <w:r>
        <w:rPr>
          <w:rFonts w:ascii="Arial" w:hAnsi="Arial" w:eastAsia="Arial" w:cs="Arial"/>
          <w:b w:val="0"/>
          <w:i w:val="0"/>
          <w:strike w:val="0"/>
          <w:sz w:val="20"/>
        </w:rPr>
        <w:t xml:space="preserve">ель нанимателя (работодатель), которому стало известно о возникновении у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w:t>
      </w:r>
      <w:r>
        <w:rPr>
          <w:rFonts w:ascii="Arial" w:hAnsi="Arial" w:eastAsia="Arial" w:cs="Arial"/>
          <w:b w:val="0"/>
          <w:i w:val="0"/>
          <w:strike w:val="0"/>
          <w:sz w:val="20"/>
        </w:rPr>
        <w:t xml:space="preserve">есов, вплоть до отстранения муниципального служащего от замещаемой должности муниципальной службы на период урегулирования конфликтов интересов с сохранением за ним денежного содержания на все время отстранения от замещаемой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Непринятие муниципальным служащим, являющимся представителем нанимателя, которому стало известно о возникновении у подчиненного ему муниципального служащего личной заинтересованности</w:t>
      </w:r>
      <w:r>
        <w:rPr>
          <w:rFonts w:ascii="Arial" w:hAnsi="Arial" w:eastAsia="Arial" w:cs="Arial"/>
          <w:b w:val="0"/>
          <w:i w:val="0"/>
          <w:strike w:val="0"/>
          <w:sz w:val="20"/>
        </w:rPr>
        <w:t xml:space="preserve">, которая приводит или может привести к конфликту интересов, мер по предотвращению или урегулированию конфликта интересов является правонарушением, влекущим увольнение муниципального служащего, являющегося представителем нанимателя, с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Для обеспечения соблюдения муниципальными служащими общих принципов служебного поведения и урегулирования конфликта интересов образовывается комиссия по соблюдению требов</w:t>
      </w:r>
      <w:r>
        <w:rPr>
          <w:rFonts w:ascii="Arial" w:hAnsi="Arial" w:eastAsia="Arial" w:cs="Arial"/>
          <w:b w:val="0"/>
          <w:i w:val="0"/>
          <w:strike w:val="0"/>
          <w:sz w:val="20"/>
        </w:rPr>
        <w:t xml:space="preserve">аний к служебному поведению муниципальных служащих в Анжеро-Судженском городском округе и урегулированию конфликта интересов, формирование и деятельность которой регулируется нормативным актом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1" w:name="Par214"/>
      <w:r/>
      <w:bookmarkEnd w:id="21"/>
      <w:r>
        <w:rPr>
          <w:rFonts w:ascii="Arial" w:hAnsi="Arial" w:eastAsia="Arial" w:cs="Arial"/>
          <w:b w:val="0"/>
          <w:i w:val="0"/>
          <w:strike w:val="0"/>
          <w:sz w:val="20"/>
        </w:rPr>
        <w:t xml:space="preserve">Статья 14. Требования к служебному поведению</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Муниципальный служащий обязан:</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исполнять должностные обязанности добросовестно, на высоком профессиональном уровне;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обеспечивать равное, беспристрастное отношение ко всем физическим и юридическим </w:t>
      </w:r>
      <w:r>
        <w:rPr>
          <w:rFonts w:ascii="Arial" w:hAnsi="Arial" w:eastAsia="Arial" w:cs="Arial"/>
          <w:b w:val="0"/>
          <w:i w:val="0"/>
          <w:strike w:val="0"/>
          <w:sz w:val="20"/>
        </w:rPr>
        <w:t xml:space="preserve">лицам и организациям, не оказывать предпочтение каким-либо общественным или религиозным объединениям, профессиональным или социальным группам, гражданам и организациям и не допускать предвзятости в отношении таких объединений, групп, организаций и граждан;</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соблюдать нейтральность, исключающую возможность влияния на свою профессиональную служебную деятельность решений политических партий, других общественных и религиозных объединений и иных организаций;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проявлять корректность в обращении с гражданами;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проявлять уважение к нравственным обычаям и традициям народов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учитывать культурные и иные особенности различных этнических и социальных групп, а также конфессий;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способствовать межнациональному и межконфессиональному согласию;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не допускать конфликтных ситуаций, способных нанести ущерб его репутации или авторитету муниципального органа.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являющийся руководителем, обязан не допускать случаи принуждения муниципальных служащих к участию в деятельности политических партий, других общественных и религиозных объединений.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2" w:name="Par229"/>
      <w:r/>
      <w:bookmarkEnd w:id="22"/>
      <w:r>
        <w:rPr>
          <w:rFonts w:ascii="Arial" w:hAnsi="Arial" w:eastAsia="Arial" w:cs="Arial"/>
          <w:b w:val="0"/>
          <w:i w:val="0"/>
          <w:strike w:val="0"/>
          <w:sz w:val="20"/>
        </w:rPr>
        <w:t xml:space="preserve">Статья 15. Представление сведений о доходах, расходах,</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об имуществе и обязательствах имущественного характера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Граждане, претендующие на за</w:t>
      </w:r>
      <w:r>
        <w:rPr>
          <w:rFonts w:ascii="Arial" w:hAnsi="Arial" w:eastAsia="Arial" w:cs="Arial"/>
          <w:b w:val="0"/>
          <w:i w:val="0"/>
          <w:strike w:val="0"/>
          <w:sz w:val="20"/>
        </w:rPr>
        <w:t xml:space="preserve">мещение должностей муниципальной службы, включенных в соответствующий перечень, муниципальные служащие, замещающие указанные должности, обязаны представлять представителю нанимателя (работодателю) сведения о своих доходах, об имуществе и обязательствах иму</w:t>
      </w:r>
      <w:r>
        <w:rPr>
          <w:rFonts w:ascii="Arial" w:hAnsi="Arial" w:eastAsia="Arial" w:cs="Arial"/>
          <w:b w:val="0"/>
          <w:i w:val="0"/>
          <w:strike w:val="0"/>
          <w:sz w:val="20"/>
        </w:rPr>
        <w:t xml:space="preserve">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в соответствии с нормативным актом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замещающий должность муниципальной службы, включенную в соответствующий перечень, обязан предста</w:t>
      </w:r>
      <w:r>
        <w:rPr>
          <w:rFonts w:ascii="Arial" w:hAnsi="Arial" w:eastAsia="Arial" w:cs="Arial"/>
          <w:b w:val="0"/>
          <w:i w:val="0"/>
          <w:strike w:val="0"/>
          <w:sz w:val="20"/>
        </w:rPr>
        <w:t xml:space="preserve">влять сведения о своих расходах, а также расходах, об имуществе и обязательствах имущественного характера своих супруги (супруга) и несовершеннолетних детей, в соответствии с нормативным актом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Контроль за соответствием расходов муниципального служащего, его супруги (супруга) и несовершеннолетних детей их доходам осуществляется в порядке, предусмотренном Федеральным </w:t>
      </w:r>
      <w:hyperlink r:id="rId30" w:tooltip="consultantplus://offline/ref=044D5261D4C39E8210906B11CAD285B1FDA9E0D78346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25 декабря 2008 года N 273-ФЗ "О противодействии коррупции" и Федеральным </w:t>
      </w:r>
      <w:hyperlink r:id="rId31" w:tooltip="consultantplus://offline/ref=044D5261D4C39E8210906B11CAD285B1FDA9E0D78540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 контроле </w:t>
      </w:r>
      <w:r>
        <w:rPr>
          <w:rFonts w:ascii="Arial" w:hAnsi="Arial" w:eastAsia="Arial" w:cs="Arial"/>
          <w:b w:val="0"/>
          <w:i w:val="0"/>
          <w:strike w:val="0"/>
          <w:sz w:val="20"/>
        </w:rPr>
        <w:t xml:space="preserve">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законами и иными нормативными правовыми актами Кемеровской области, муниципальными правовыми актами.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Сведения о доходах, расходах, об имуществе и обязательствах имущественного характера</w:t>
      </w:r>
      <w:r>
        <w:rPr>
          <w:rFonts w:ascii="Arial" w:hAnsi="Arial" w:eastAsia="Arial" w:cs="Arial"/>
          <w:b w:val="0"/>
          <w:i w:val="0"/>
          <w:strike w:val="0"/>
          <w:sz w:val="20"/>
        </w:rPr>
        <w:t xml:space="preserve">, представляемые муниципальным служащим в соответствии с настоящей статьей, являются сведениями конфиденциального характера, если федеральными законами они не отнесены к сведениям, составляющим государственную и иную охраняемую федеральными законами тайну.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Не допускается использование сведений о доходах, расходах, об имуществе и обязательствах имущественного характера для установления или определения </w:t>
      </w:r>
      <w:r>
        <w:rPr>
          <w:rFonts w:ascii="Arial" w:hAnsi="Arial" w:eastAsia="Arial" w:cs="Arial"/>
          <w:b w:val="0"/>
          <w:i w:val="0"/>
          <w:strike w:val="0"/>
          <w:sz w:val="20"/>
        </w:rPr>
        <w:t xml:space="preserve">платежеспособности муниципального служащего, его супруги (супруга) и несовершеннолетних детей, для сбора в прямой или косвенной форме пожертвований (взносов) в фонды религиозных или других общественных объединений, иных организаций, а также физических лиц.</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Лица, виновные в разглашении сведений о доходах, расходах, об</w:t>
      </w:r>
      <w:r>
        <w:rPr>
          <w:rFonts w:ascii="Arial" w:hAnsi="Arial" w:eastAsia="Arial" w:cs="Arial"/>
          <w:b w:val="0"/>
          <w:i w:val="0"/>
          <w:strike w:val="0"/>
          <w:sz w:val="20"/>
        </w:rPr>
        <w:t xml:space="preserve"> имуществе и обязательствах имущественного характера муниципальных служащих или в использовании этих сведений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Непредставление муниципальным служащим сведений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w:t>
      </w:r>
      <w:r>
        <w:rPr>
          <w:rFonts w:ascii="Arial" w:hAnsi="Arial" w:eastAsia="Arial" w:cs="Arial"/>
          <w:b w:val="0"/>
          <w:i w:val="0"/>
          <w:strike w:val="0"/>
          <w:sz w:val="20"/>
        </w:rPr>
        <w:t xml:space="preserve">уги (супруга) и несовершеннолетних детей в случае, если представление таких сведений обязательно, либо представление заведомо недостоверных или неполных сведений является правонарушением, влекущим увольнение муниципального служащего с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Проверка достове</w:t>
      </w:r>
      <w:r>
        <w:rPr>
          <w:rFonts w:ascii="Arial" w:hAnsi="Arial" w:eastAsia="Arial" w:cs="Arial"/>
          <w:b w:val="0"/>
          <w:i w:val="0"/>
          <w:strike w:val="0"/>
          <w:sz w:val="20"/>
        </w:rPr>
        <w:t xml:space="preserve">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должностей муниципальной службы, включенных в соответствующий перечень, достоверности и полноты све</w:t>
      </w:r>
      <w:r>
        <w:rPr>
          <w:rFonts w:ascii="Arial" w:hAnsi="Arial" w:eastAsia="Arial" w:cs="Arial"/>
          <w:b w:val="0"/>
          <w:i w:val="0"/>
          <w:strike w:val="0"/>
          <w:sz w:val="20"/>
        </w:rPr>
        <w:t xml:space="preserve">дений о доходах, расходах, об имуществе и обязательствах имущественного характера, представляемых муниципальными служащими, замещающими указанные должности, достоверности и полноты сведений, представляемых гражданами при поступлении на муниципальную службу</w:t>
      </w:r>
      <w:r>
        <w:rPr>
          <w:rFonts w:ascii="Arial" w:hAnsi="Arial" w:eastAsia="Arial" w:cs="Arial"/>
          <w:b w:val="0"/>
          <w:i w:val="0"/>
          <w:strike w:val="0"/>
          <w:sz w:val="20"/>
        </w:rPr>
        <w:t xml:space="preserve"> в соответствии с нормативными правовыми актами Российской Федерации, соблюдения муниципальными служащими ограничений и запретов, требований о предотвращении или об урегулировании конфликта интересов, исполнения ими обязанностей, установленных Федеральным </w:t>
      </w:r>
      <w:hyperlink r:id="rId32" w:tooltip="consultantplus://offline/ref=044D5261D4C39E8210906B11CAD285B1FDA9E0D78346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25 декабря 2008 года N 273-ФЗ "О противодействии коррупции" и другими нормативными правовыми актами Российской Федерации, осуществляется в порядке, определяемом нормативными правовыми актами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23" w:name="Par241"/>
      <w:r/>
      <w:bookmarkEnd w:id="23"/>
      <w:r>
        <w:rPr>
          <w:rFonts w:ascii="Arial" w:hAnsi="Arial" w:eastAsia="Arial" w:cs="Arial"/>
          <w:b w:val="0"/>
          <w:i w:val="0"/>
          <w:strike w:val="0"/>
          <w:sz w:val="20"/>
        </w:rPr>
        <w:t xml:space="preserve">Глава 4. ПРОХОЖДЕНИЕ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4" w:name="Par243"/>
      <w:r/>
      <w:bookmarkEnd w:id="24"/>
      <w:r>
        <w:rPr>
          <w:rFonts w:ascii="Arial" w:hAnsi="Arial" w:eastAsia="Arial" w:cs="Arial"/>
          <w:b w:val="0"/>
          <w:i w:val="0"/>
          <w:strike w:val="0"/>
          <w:sz w:val="20"/>
        </w:rPr>
        <w:t xml:space="preserve">Статья 16. Поступление на муниципальную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На муниципальную службу вправе поступать граждане, достигшие возраста 18 лет, владеющие государственным языком Российской Федерации и соответствующие квалификационным требованиям, установленным в соответствии с Федеральным </w:t>
      </w:r>
      <w:hyperlink r:id="rId33" w:tooltip="consultantplus://offline/ref=044D5261D4C39E8210906B11CAD285B1FDA9E5D08341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 муниципальной службе в Российской Федерации" для замещения должностей муниципальной службы, при отсутствии обстоятельств, указанных в </w:t>
      </w:r>
      <w:hyperlink w:history="1">
        <w:r>
          <w:rPr>
            <w:rFonts w:ascii="Arial" w:hAnsi="Arial" w:eastAsia="Arial" w:cs="Arial"/>
            <w:b w:val="0"/>
            <w:i w:val="0"/>
            <w:strike w:val="0"/>
            <w:color w:val="0000ff"/>
            <w:sz w:val="20"/>
          </w:rPr>
          <w:t xml:space="preserve">статье 11</w:t>
        </w:r>
      </w:hyperlink>
      <w:r>
        <w:rPr>
          <w:rFonts w:ascii="Arial" w:hAnsi="Arial" w:eastAsia="Arial" w:cs="Arial"/>
          <w:b w:val="0"/>
          <w:i w:val="0"/>
          <w:strike w:val="0"/>
          <w:sz w:val="20"/>
        </w:rPr>
        <w:t xml:space="preserve"> настоящего Положения в качестве ограничений, связанных с муниципальной службой.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При поступлении на муниципальную службу, а также при ее прохождении не допускается установление каких бы то ни было прямых или косвенных ограничений или преимуществ в зависимости от пола, расы, национальности, происхо</w:t>
      </w:r>
      <w:r>
        <w:rPr>
          <w:rFonts w:ascii="Arial" w:hAnsi="Arial" w:eastAsia="Arial" w:cs="Arial"/>
          <w:b w:val="0"/>
          <w:i w:val="0"/>
          <w:strike w:val="0"/>
          <w:sz w:val="20"/>
        </w:rPr>
        <w:t xml:space="preserve">ждения, имущественного и должностного положения, места жительства, отношения к религии, убеждений, принадлежности к общественным объединениям, а также от других обстоятельств, не связанных с профессиональными и деловыми качествами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При поступлении на муниципальную службу гражданин представляет: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заявление с просьбой о поступлении на муниципальную службу и замещении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собственноручно заполненную и подписанную анкету по форме, установленной уполномоченным Правительством Российской Федерации федеральным органом исполнительной власти;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паспорт;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трудовую книжку, за исключением случаев, когда трудовой договор (контракт) заключается впервые;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документ об образовании;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страховое свидетельство обязательного пенсионного страхования, за исключением случаев, когда трудовой договор (контракт) заключается впервые;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свидетельство о постановке физического лица на учет в налоговом органе по месту жительства на территории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документы воинского учета - для граждан, пребывающих в запасе, и лиц, подлежащих призыву на военную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заключение медицинской организации об отсутствии заболевания, препятствующего поступлению на муниципальную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10) сведения о доходах за год, предшествующий году поступления на муниципальную службу, об имуществе и обязательствах имущественного характера;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11) иные документы, предусмотренные федеральными законами, указами Президента Российской Федерации и постановлениями Правительства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25" w:name="Par259"/>
      <w:r/>
      <w:bookmarkEnd w:id="25"/>
      <w:r>
        <w:rPr>
          <w:rFonts w:ascii="Arial" w:hAnsi="Arial" w:eastAsia="Arial" w:cs="Arial"/>
          <w:b w:val="0"/>
          <w:i w:val="0"/>
          <w:strike w:val="0"/>
          <w:sz w:val="20"/>
        </w:rPr>
        <w:t xml:space="preserve">4. Сведения, представленные гражданином при поступлении на муниципальную службу, могут подвергаться проверке в установленном федеральными законами порядке.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 случае установления в процессе проверки, предусмотренной </w:t>
      </w:r>
      <w:hyperlink w:history="1">
        <w:r>
          <w:rPr>
            <w:rFonts w:ascii="Arial" w:hAnsi="Arial" w:eastAsia="Arial" w:cs="Arial"/>
            <w:b w:val="0"/>
            <w:i w:val="0"/>
            <w:strike w:val="0"/>
            <w:color w:val="0000ff"/>
            <w:sz w:val="20"/>
          </w:rPr>
          <w:t xml:space="preserve">частью 4</w:t>
        </w:r>
      </w:hyperlink>
      <w:r>
        <w:rPr>
          <w:rFonts w:ascii="Arial" w:hAnsi="Arial" w:eastAsia="Arial" w:cs="Arial"/>
          <w:b w:val="0"/>
          <w:i w:val="0"/>
          <w:strike w:val="0"/>
          <w:sz w:val="20"/>
        </w:rPr>
        <w:t xml:space="preserve"> настоящей статьи, обстоятельств, препятствующих поступлению гражданина на муниципальную службу, указанный гражданин информируется в письменной форме о причинах отказа в поступлении на муниципальную службу.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w:t>
      </w:r>
      <w:r>
        <w:rPr>
          <w:rFonts w:ascii="Arial" w:hAnsi="Arial" w:eastAsia="Arial" w:cs="Arial"/>
          <w:b w:val="0"/>
          <w:i w:val="0"/>
          <w:strike w:val="0"/>
          <w:sz w:val="20"/>
        </w:rPr>
        <w:t xml:space="preserve"> Поступление гражданина на муниципальную службу осуществляется в результате назначения на должность муниципальной службы на условиях трудового договора в соответствии с трудовым законодательством с учетом особенностей, предусмотренных настоящим Положением.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Гражданин, поступающий на должность главы местной администрации по результатам конк</w:t>
      </w:r>
      <w:r>
        <w:rPr>
          <w:rFonts w:ascii="Arial" w:hAnsi="Arial" w:eastAsia="Arial" w:cs="Arial"/>
          <w:b w:val="0"/>
          <w:i w:val="0"/>
          <w:strike w:val="0"/>
          <w:sz w:val="20"/>
        </w:rPr>
        <w:t xml:space="preserve">урса на замещение указанной должности, заключает контракт. Порядок замещения должности главы местной администрации по контракту и порядок заключения и расторжения контракта с лицом, назначаемым на указанную должность по контракту, определяются Федеральным </w:t>
      </w:r>
      <w:hyperlink r:id="rId34" w:tooltip="consultantplus://offline/ref=044D5261D4C39E8210906B11CAD285B1FDA9E5D0834C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6 октября 2003 года N 131-ФЗ "Об общих принципах организации местного самоуправления в Российской Федерации". Типовая форма контракта с лицом, назначаемым на должность главы местной администрации по контракту, утверждается законом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8. Поступление гражданина на муниципальную службу оформляется актом представителя нанимателя (работодателя) о назначении на должность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9. Сторонами трудового договора при поступлении на муниципальную службу являются представитель нанимателя (работодатель) и муниципальный служащий.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6" w:name="Par266"/>
      <w:r/>
      <w:bookmarkEnd w:id="26"/>
      <w:r>
        <w:rPr>
          <w:rFonts w:ascii="Arial" w:hAnsi="Arial" w:eastAsia="Arial" w:cs="Arial"/>
          <w:b w:val="0"/>
          <w:i w:val="0"/>
          <w:strike w:val="0"/>
          <w:sz w:val="20"/>
        </w:rPr>
        <w:t xml:space="preserve">Статья 17. Квалификационные требования для замещения</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Для замещения должностей муниципальной службы лицо, поступающее на муниципальную службу, должно соответствовать квалификационным требованиям, предъявляем</w:t>
      </w:r>
      <w:r>
        <w:rPr>
          <w:rFonts w:ascii="Arial" w:hAnsi="Arial" w:eastAsia="Arial" w:cs="Arial"/>
          <w:b w:val="0"/>
          <w:i w:val="0"/>
          <w:strike w:val="0"/>
          <w:sz w:val="20"/>
        </w:rPr>
        <w:t xml:space="preserve">ым к уровню профессионального образования, стажу муниципальной службы (государственной службы) или стажу работы по специальности, профессиональным знаниям и навыкам, необходимым для исполнения должностных обязанностей (далее - квалификационные требования).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Квалификационные требования по соответствующей должности муниципальной службы устанавливаются муниципальным правовым актом с учетом задач и функций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Квалификационные требования, установленные муниципальным правовым актом, мог</w:t>
      </w:r>
      <w:r>
        <w:rPr>
          <w:rFonts w:ascii="Arial" w:hAnsi="Arial" w:eastAsia="Arial" w:cs="Arial"/>
          <w:b w:val="0"/>
          <w:i w:val="0"/>
          <w:strike w:val="0"/>
          <w:sz w:val="20"/>
        </w:rPr>
        <w:t xml:space="preserve">ут содержать повышенные требования к уровню профессионального образования, стажу муниципальной службы или стажу работы по специальности, профессиональным знаниям и навыкам, необходимым для исполнения должностных обязанностей, чем те, которые установлены в </w:t>
      </w:r>
      <w:hyperlink w:history="1">
        <w:r>
          <w:rPr>
            <w:rFonts w:ascii="Arial" w:hAnsi="Arial" w:eastAsia="Arial" w:cs="Arial"/>
            <w:b w:val="0"/>
            <w:i w:val="0"/>
            <w:strike w:val="0"/>
            <w:color w:val="0000ff"/>
            <w:sz w:val="20"/>
          </w:rPr>
          <w:t xml:space="preserve">пунктах 3</w:t>
        </w:r>
      </w:hyperlink>
      <w:r>
        <w:rPr>
          <w:rFonts w:ascii="Arial" w:hAnsi="Arial" w:eastAsia="Arial" w:cs="Arial"/>
          <w:b w:val="0"/>
          <w:i w:val="0"/>
          <w:strike w:val="0"/>
          <w:sz w:val="20"/>
        </w:rPr>
        <w:t xml:space="preserve"> - </w:t>
      </w:r>
      <w:hyperlink w:history="1">
        <w:r>
          <w:rPr>
            <w:rFonts w:ascii="Arial" w:hAnsi="Arial" w:eastAsia="Arial" w:cs="Arial"/>
            <w:b w:val="0"/>
            <w:i w:val="0"/>
            <w:strike w:val="0"/>
            <w:color w:val="0000ff"/>
            <w:sz w:val="20"/>
          </w:rPr>
          <w:t xml:space="preserve">6</w:t>
        </w:r>
      </w:hyperlink>
      <w:r>
        <w:rPr>
          <w:rFonts w:ascii="Arial" w:hAnsi="Arial" w:eastAsia="Arial" w:cs="Arial"/>
          <w:b w:val="0"/>
          <w:i w:val="0"/>
          <w:strike w:val="0"/>
          <w:sz w:val="20"/>
        </w:rPr>
        <w:t xml:space="preserve"> настоящей статьи.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27" w:name="Par272"/>
      <w:r/>
      <w:bookmarkEnd w:id="27"/>
      <w:r>
        <w:rPr>
          <w:rFonts w:ascii="Arial" w:hAnsi="Arial" w:eastAsia="Arial" w:cs="Arial"/>
          <w:b w:val="0"/>
          <w:i w:val="0"/>
          <w:strike w:val="0"/>
          <w:sz w:val="20"/>
        </w:rPr>
        <w:t xml:space="preserve">3. Квалификационные требования к уровню профессионального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для высших должностей муниципальной службы - высшее профессиональное образование;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для главных, ведущих и старших должностей муниципальной службы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для младших должностей муниципальной службы - среднее профессиональное образование.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Квалификационные требования к стажу:</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для высших должностей муниципальной службы - стаж работы по специальности не менее 5 лет или стаж муниципальной службы на должностях не ниже главной группы (государственной службы на должностях не ниже старшей группы)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для главных должностей муниципальной службы - стаж работы по специальности не менее 5 лет или стаж муниципальной службы на должностях не ниже ведущей группы (государственной службы на должностях не ниже старшей группы)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для ведущих должностей муниципальной службы - стаж работы по специальности не менее 3 лет или стаж муниципальной службы на должностях не ниже старшей группы (государственной службы на должностях младшей группы) не менее 2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для старших должностей муниципальной службы - требование к стажу не предъявля</w:t>
      </w:r>
      <w:r>
        <w:rPr>
          <w:rFonts w:ascii="Arial" w:hAnsi="Arial" w:eastAsia="Arial" w:cs="Arial"/>
          <w:b w:val="0"/>
          <w:i w:val="0"/>
          <w:strike w:val="0"/>
          <w:sz w:val="20"/>
        </w:rPr>
        <w:t xml:space="preserve">ется в случае наличия высшего профессионального образования, соответствующего направлению деятельности органа местного самоуправления или его структурного подразделения, в иных случаях требуется наличие стажа (опыта) работы по специальности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для младших должностей муниципальной службы - без предъявления требований к стажу работы.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Квалификационные требования к профессиональным знаниям: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знание правовых актов, регламентирующих деятельность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знание правовых актов, регламентирующих служебную деятельность;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специальные профессиональные знания, необходимые для исполнения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знание основ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знание основ этики, правил делового общения.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28" w:name="Par288"/>
      <w:r/>
      <w:bookmarkEnd w:id="28"/>
      <w:r>
        <w:rPr>
          <w:rFonts w:ascii="Arial" w:hAnsi="Arial" w:eastAsia="Arial" w:cs="Arial"/>
          <w:b w:val="0"/>
          <w:i w:val="0"/>
          <w:strike w:val="0"/>
          <w:sz w:val="20"/>
        </w:rPr>
        <w:t xml:space="preserve">6. Квалификационные требования к профессиональным навыкам: владение навыками делового письма;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навыки работы с документами;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навыки владения современными средствами, методами и технологией работы с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организационные навыки, в том числе применения специальных знаний.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29" w:name="Par293"/>
      <w:r/>
      <w:bookmarkEnd w:id="29"/>
      <w:r>
        <w:rPr>
          <w:rFonts w:ascii="Arial" w:hAnsi="Arial" w:eastAsia="Arial" w:cs="Arial"/>
          <w:b w:val="0"/>
          <w:i w:val="0"/>
          <w:strike w:val="0"/>
          <w:sz w:val="20"/>
        </w:rPr>
        <w:t xml:space="preserve">Статья 18. Конкурс на замещение вакантной</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муниципальной должности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В случаях, предусмотренных </w:t>
      </w:r>
      <w:hyperlink r:id="rId35" w:tooltip="consultantplus://offline/ref=044D5261D4C39E821090751CDCBED9B4F8A5BCDF804637CB5B45AC85F1575D2Bz2B5K" w:history="1">
        <w:r>
          <w:rPr>
            <w:rFonts w:ascii="Arial" w:hAnsi="Arial" w:eastAsia="Arial" w:cs="Arial"/>
            <w:b w:val="0"/>
            <w:i w:val="0"/>
            <w:strike w:val="0"/>
            <w:color w:val="0000ff"/>
            <w:sz w:val="20"/>
          </w:rPr>
          <w:t xml:space="preserve">Уставом</w:t>
        </w:r>
      </w:hyperlink>
      <w:r>
        <w:rPr>
          <w:rFonts w:ascii="Arial" w:hAnsi="Arial" w:eastAsia="Arial" w:cs="Arial"/>
          <w:b w:val="0"/>
          <w:i w:val="0"/>
          <w:strike w:val="0"/>
          <w:sz w:val="20"/>
        </w:rPr>
        <w:t xml:space="preserve"> муниципального образования "Анжеро-Судженского городского округа", нормативными правовыми актами муниципального образования, замещение вакантной муниципальной должности муниципальной службы производится на конкурсной основе.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Конкурс на замещение вакантной муниципальной должности муниципальной службы проводится среди граждан, подавших заявление об участии в конкурсе.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Порядок проведения конкурса на замещение ва</w:t>
      </w:r>
      <w:r>
        <w:rPr>
          <w:rFonts w:ascii="Arial" w:hAnsi="Arial" w:eastAsia="Arial" w:cs="Arial"/>
          <w:b w:val="0"/>
          <w:i w:val="0"/>
          <w:strike w:val="0"/>
          <w:sz w:val="20"/>
        </w:rPr>
        <w:t xml:space="preserve">кантной муниципальной должности муниципальной службы и порядка формирования комиссии по проведению конкурса на замещение вакантной муниципальной должности муниципальной службы устанавливается Советом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0" w:name="Par300"/>
      <w:r/>
      <w:bookmarkEnd w:id="30"/>
      <w:r>
        <w:rPr>
          <w:rFonts w:ascii="Arial" w:hAnsi="Arial" w:eastAsia="Arial" w:cs="Arial"/>
          <w:b w:val="0"/>
          <w:i w:val="0"/>
          <w:strike w:val="0"/>
          <w:sz w:val="20"/>
        </w:rPr>
        <w:t xml:space="preserve">Статья 19. Испытание по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Для гражданина, впервые принимаемого на должность муниципальной службы, в том числе по конкурсу, руководителем соответствующего органа местного самоуправления может устанавливаться испытательный срок.</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В случае установления испытат</w:t>
      </w:r>
      <w:r>
        <w:rPr>
          <w:rFonts w:ascii="Arial" w:hAnsi="Arial" w:eastAsia="Arial" w:cs="Arial"/>
          <w:b w:val="0"/>
          <w:i w:val="0"/>
          <w:strike w:val="0"/>
          <w:sz w:val="20"/>
        </w:rPr>
        <w:t xml:space="preserve">ельного срока в срок испытания не засчитывается период, когда муниципальный служащий без уважительных причин отсутствовал на службе. В период испытания на муниципального служащего распространяются нормы действующего законодательства о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По результатам конкурсов и испытания к муниципальному служащему принимают меры в соответствии с нормами трудового законодательства и законодательства о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1" w:name="Par306"/>
      <w:r/>
      <w:bookmarkEnd w:id="31"/>
      <w:r>
        <w:rPr>
          <w:rFonts w:ascii="Arial" w:hAnsi="Arial" w:eastAsia="Arial" w:cs="Arial"/>
          <w:b w:val="0"/>
          <w:i w:val="0"/>
          <w:strike w:val="0"/>
          <w:sz w:val="20"/>
        </w:rPr>
        <w:t xml:space="preserve">Статья 20. Аттестация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Аттестация муниципального служащего проводится в целях определения его соответствия замещаемой должности муниципальной службы. Аттестация муниципального служащего проводится один раз в три года.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Аттестации не подлежат следующие муниципальные служащие: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замещающие должности муниципальной службы менее одного года;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достигшие возраста 60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беременные женщины;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находящиеся в отпуске по беременности и родам или в отпуске по уходу за ребенком до достижения им возраста трех лет. Аттестация указанных муниципальных служащих возможна не ранее чем через один год после выхода из отпуска;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замещающие должности муниципальной службы на основании срочного трудового договора (контракта).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По результатам аттестации муниципального служащего аттестационная комиссия выносит решение о том, соответствует муниципальный служащий замещаемой должнос</w:t>
      </w:r>
      <w:r>
        <w:rPr>
          <w:rFonts w:ascii="Arial" w:hAnsi="Arial" w:eastAsia="Arial" w:cs="Arial"/>
          <w:b w:val="0"/>
          <w:i w:val="0"/>
          <w:strike w:val="0"/>
          <w:sz w:val="20"/>
        </w:rPr>
        <w:t xml:space="preserve">ти муниципальной службы или не соответствует. Аттестационная комиссия может давать рекомендации о поощрении отдельных муниципальных служащих за достигнутые ими успехи в работе, в том числе о повышении их в должности, а в случае необходимости рекомендации о</w:t>
      </w:r>
      <w:r>
        <w:rPr>
          <w:rFonts w:ascii="Arial" w:hAnsi="Arial" w:eastAsia="Arial" w:cs="Arial"/>
          <w:b w:val="0"/>
          <w:i w:val="0"/>
          <w:strike w:val="0"/>
          <w:sz w:val="20"/>
        </w:rPr>
        <w:t xml:space="preserve">б улучшении деятельности аттестуемых муниципальных служащих. Результаты аттестации сообщаются аттестованным муниципальным служащим непосредственно после подведения итогов голосования. Материалы аттестации передаются представителю нанимателя (работодателю).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По результатам аттестации представитель нанимателя (работодатель) принимает решение о поощрении отдельных муниципальных служащих за достигнутые ими успехи в работе или в срок</w:t>
      </w:r>
      <w:r>
        <w:rPr>
          <w:rFonts w:ascii="Arial" w:hAnsi="Arial" w:eastAsia="Arial" w:cs="Arial"/>
          <w:b w:val="0"/>
          <w:i w:val="0"/>
          <w:strike w:val="0"/>
          <w:sz w:val="20"/>
        </w:rPr>
        <w:t xml:space="preserve"> не более одного месяца со дня аттестации о понижении муниципального служащего в должности с его согласия. По результатам аттестации аттестационная комиссия может давать рекомендации о направлении отдельных муниципальных служащих на повышение квалификации.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 случае несогласия муниципального служа</w:t>
      </w:r>
      <w:r>
        <w:rPr>
          <w:rFonts w:ascii="Arial" w:hAnsi="Arial" w:eastAsia="Arial" w:cs="Arial"/>
          <w:b w:val="0"/>
          <w:i w:val="0"/>
          <w:strike w:val="0"/>
          <w:sz w:val="20"/>
        </w:rPr>
        <w:t xml:space="preserve">щего с понижением в должности или невозможности перевода с его согласия на другую должность муниципальной службы представитель нанимателя (работодатель) может в срок не более одного месяца со дня аттестации уволить его с муниципальной службы в связи с несо</w:t>
      </w:r>
      <w:r>
        <w:rPr>
          <w:rFonts w:ascii="Arial" w:hAnsi="Arial" w:eastAsia="Arial" w:cs="Arial"/>
          <w:b w:val="0"/>
          <w:i w:val="0"/>
          <w:strike w:val="0"/>
          <w:sz w:val="20"/>
        </w:rPr>
        <w:t xml:space="preserve">ответствием замещаемой должности вследствие недостаточной квалификации, подтвержденной результатами аттестации. По истечении указанного срока увольнение муниципального служащего или понижение его в должности по результатам данной аттестации не допускается.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Муниципальный служащий вправе обжаловать результаты аттестации в судебном порядке.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7. Положение о проведении аттестации муниципальных служащих утверждается муниципальным правовым актом в соответствии с типовым положением о проведении аттестации муниципальных служащих, утверждаемым </w:t>
      </w:r>
      <w:hyperlink r:id="rId36" w:tooltip="consultantplus://offline/ref=044D5261D4C39E821090751CDCBED9B4F8A5BCDF84413ECC5A45AC85F1575D2Bz2B5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Кемеровской области "О некоторых вопросах прохождения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2" w:name="Par321"/>
      <w:r/>
      <w:bookmarkEnd w:id="32"/>
      <w:r>
        <w:rPr>
          <w:rFonts w:ascii="Arial" w:hAnsi="Arial" w:eastAsia="Arial" w:cs="Arial"/>
          <w:b w:val="0"/>
          <w:i w:val="0"/>
          <w:strike w:val="0"/>
          <w:sz w:val="20"/>
        </w:rPr>
        <w:t xml:space="preserve">Статья 21. Личное дело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Прохождение муниципальной службы отражается в личном деле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Личные дела муниципальных служащих,</w:t>
      </w:r>
      <w:r>
        <w:rPr>
          <w:rFonts w:ascii="Arial" w:hAnsi="Arial" w:eastAsia="Arial" w:cs="Arial"/>
          <w:b w:val="0"/>
          <w:i w:val="0"/>
          <w:strike w:val="0"/>
          <w:sz w:val="20"/>
        </w:rPr>
        <w:t xml:space="preserve"> назначение на должность и освобождение от должности которых осуществляют руководители органов местного самоуправления, ведут кадровые службы органов местного самоуправления городского округа. Личное дело муниципального служащего хранится в течение 10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Сведения, содержащиеся в личных делах муниципальных слу</w:t>
      </w:r>
      <w:r>
        <w:rPr>
          <w:rFonts w:ascii="Arial" w:hAnsi="Arial" w:eastAsia="Arial" w:cs="Arial"/>
          <w:b w:val="0"/>
          <w:i w:val="0"/>
          <w:strike w:val="0"/>
          <w:sz w:val="20"/>
        </w:rPr>
        <w:t xml:space="preserve">жащих, являются конфиденциальными, за исключением сведений, подлежащих опубликованию в соответствии с действующим законодательством. Хранение и использование персональных данных муниципальных служащих ведется в соответствии с трудовым законодательством РФ.</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Ведение личного дела муниципального служащего осуществляется в порядке, установленном для ведения личного дела государственного гражданского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При переводе или поступл</w:t>
      </w:r>
      <w:r>
        <w:rPr>
          <w:rFonts w:ascii="Arial" w:hAnsi="Arial" w:eastAsia="Arial" w:cs="Arial"/>
          <w:b w:val="0"/>
          <w:i w:val="0"/>
          <w:strike w:val="0"/>
          <w:sz w:val="20"/>
        </w:rPr>
        <w:t xml:space="preserve">ении муниципального служащего Анжеро-Судженского городского округа в другой муниципальный (государственный) орган, на другую муниципальную (государственную) должность муниципальной (государственной) службы его личное дело передается по новому месту работы.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 случае ликвидации, реорганизации органа местного самоуправления личные дела муниципальных служащих своевременно передаются в соответствующий архив на государственное хранение.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3" w:name="Par330"/>
      <w:r/>
      <w:bookmarkEnd w:id="33"/>
      <w:r>
        <w:rPr>
          <w:rFonts w:ascii="Arial" w:hAnsi="Arial" w:eastAsia="Arial" w:cs="Arial"/>
          <w:b w:val="0"/>
          <w:i w:val="0"/>
          <w:strike w:val="0"/>
          <w:sz w:val="20"/>
        </w:rPr>
        <w:t xml:space="preserve">Статья 22. Удостоверение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Должностн</w:t>
      </w:r>
      <w:r>
        <w:rPr>
          <w:rFonts w:ascii="Arial" w:hAnsi="Arial" w:eastAsia="Arial" w:cs="Arial"/>
          <w:b w:val="0"/>
          <w:i w:val="0"/>
          <w:strike w:val="0"/>
          <w:sz w:val="20"/>
        </w:rPr>
        <w:t xml:space="preserve">ые полномочия муниципального служащего, а также его личность подтверждаются удостоверением, выдаваемым муниципальному служащему в течение трех дней со дня издания распорядительного документа о его назначении на муниципальную должность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Положение об удостоверении, его образец утверждаются руководителями (работодателями) соответствующих органов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4" w:name="Par335"/>
      <w:r/>
      <w:bookmarkEnd w:id="34"/>
      <w:r>
        <w:rPr>
          <w:rFonts w:ascii="Arial" w:hAnsi="Arial" w:eastAsia="Arial" w:cs="Arial"/>
          <w:b w:val="0"/>
          <w:i w:val="0"/>
          <w:strike w:val="0"/>
          <w:sz w:val="20"/>
        </w:rPr>
        <w:t xml:space="preserve">Статья 23. Стаж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В стаж (общую продолжительность) муниципальной службы для установления ежемесячной надбавки к должностному окладу за выслугу лет, определения продолжительности ежегодного дополнительного оплачиваемого отпуска за выслугу лет включаются периоды работы на: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должностях муниципальной службы (муниципальных должностях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муниципальных должностях;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государственных должностях Российской Федерации и государственных должностях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должностях государственной гражданской службы, воинских должностях и должностях правоохранительной службы (государственных должностях государственной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35" w:name="Par342"/>
      <w:r/>
      <w:bookmarkEnd w:id="35"/>
      <w:r>
        <w:rPr>
          <w:rFonts w:ascii="Arial" w:hAnsi="Arial" w:eastAsia="Arial" w:cs="Arial"/>
          <w:b w:val="0"/>
          <w:i w:val="0"/>
          <w:strike w:val="0"/>
          <w:sz w:val="20"/>
        </w:rPr>
        <w:t xml:space="preserve">2. Для рассмотрения вопросов по исчислению стажа муниципальной службы в администрации Анжеро-Судженского городского округа создается комиссия.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Порядок создания и деятельности комиссии устанавливается муниципальным правовым актом.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компетенцию комиссии</w:t>
      </w:r>
      <w:r>
        <w:rPr>
          <w:rFonts w:ascii="Arial" w:hAnsi="Arial" w:eastAsia="Arial" w:cs="Arial"/>
          <w:b w:val="0"/>
          <w:i w:val="0"/>
          <w:strike w:val="0"/>
          <w:sz w:val="20"/>
        </w:rPr>
        <w:t xml:space="preserve"> входят вопросы подготовки рекомендаций по определению стажа муниципальной службы, дающего право на получение ежемесячной надбавки к должностному окладу за выслугу лет, ежегодного дополнительного оплачиваемого отпуска за выслугу лет, пенсии за выслугу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Заседания комиссии проводятся по мере необходимости, но не реже одного раза в квартал.</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Решение комиссии должно быть доведено до муниципального служащего в течение 14 дней с момента его принятия.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 основании решения комиссии представитель нанимателя (работодатель) издает правовой акт, определяющий стаж (общую продолжительность) муниципальной службы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36" w:name="Par348"/>
      <w:r/>
      <w:bookmarkEnd w:id="36"/>
      <w:r>
        <w:rPr>
          <w:rFonts w:ascii="Arial" w:hAnsi="Arial" w:eastAsia="Arial" w:cs="Arial"/>
          <w:b w:val="0"/>
          <w:i w:val="0"/>
          <w:strike w:val="0"/>
          <w:sz w:val="20"/>
        </w:rPr>
        <w:t xml:space="preserve">3. Исчисление стажа муниципальной службы производится в календарном порядке, за исключением периодов, которые включаются в стаж муниципальной службы в порядке, установленном Федеральным </w:t>
      </w:r>
      <w:hyperlink r:id="rId37" w:tooltip="consultantplus://offline/ref=044D5261D4C39E8210906B11CAD285B1FDA9EAD18341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 статусе военнослужащих".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При подсчете стажа муниципальной службы периоды службы (работы), подлежащие включению в стаж муниципальной службы, суммируются.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37" w:name="Par351"/>
      <w:r/>
      <w:bookmarkEnd w:id="37"/>
      <w:r>
        <w:rPr>
          <w:rFonts w:ascii="Arial" w:hAnsi="Arial" w:eastAsia="Arial" w:cs="Arial"/>
          <w:b w:val="0"/>
          <w:i w:val="0"/>
          <w:strike w:val="0"/>
          <w:sz w:val="20"/>
        </w:rPr>
        <w:t xml:space="preserve">Статья 24. Поощрение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 образцовое выполнение муниципальными служащими должностных обязанностей, продолжительную и безупречную муниципальную службу, выполнение заданий особой важности и сложности предусматриваются следующие виды поощрения: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38" w:name="Par354"/>
      <w:r/>
      <w:bookmarkEnd w:id="38"/>
      <w:r>
        <w:rPr>
          <w:rFonts w:ascii="Arial" w:hAnsi="Arial" w:eastAsia="Arial" w:cs="Arial"/>
          <w:b w:val="0"/>
          <w:i w:val="0"/>
          <w:strike w:val="0"/>
          <w:sz w:val="20"/>
        </w:rPr>
        <w:t xml:space="preserve">1) объявление благодарности;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вручение единовременного денежного вознаграждения;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награждение ценным подарком;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39" w:name="Par357"/>
      <w:r/>
      <w:bookmarkEnd w:id="39"/>
      <w:r>
        <w:rPr>
          <w:rFonts w:ascii="Arial" w:hAnsi="Arial" w:eastAsia="Arial" w:cs="Arial"/>
          <w:b w:val="0"/>
          <w:i w:val="0"/>
          <w:strike w:val="0"/>
          <w:sz w:val="20"/>
        </w:rPr>
        <w:t xml:space="preserve">4) вручение Почетной грамоты;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присвоение почетного звания;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представление к награждению.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Решение о применении поощрения муниципального служащего в соответствии с </w:t>
      </w:r>
      <w:hyperlink w:history="1">
        <w:r>
          <w:rPr>
            <w:rFonts w:ascii="Arial" w:hAnsi="Arial" w:eastAsia="Arial" w:cs="Arial"/>
            <w:b w:val="0"/>
            <w:i w:val="0"/>
            <w:strike w:val="0"/>
            <w:color w:val="0000ff"/>
            <w:sz w:val="20"/>
          </w:rPr>
          <w:t xml:space="preserve">пунктами 1</w:t>
        </w:r>
      </w:hyperlink>
      <w:r>
        <w:rPr>
          <w:rFonts w:ascii="Arial" w:hAnsi="Arial" w:eastAsia="Arial" w:cs="Arial"/>
          <w:b w:val="0"/>
          <w:i w:val="0"/>
          <w:strike w:val="0"/>
          <w:sz w:val="20"/>
        </w:rPr>
        <w:t xml:space="preserve"> - </w:t>
      </w:r>
      <w:hyperlink w:history="1">
        <w:r>
          <w:rPr>
            <w:rFonts w:ascii="Arial" w:hAnsi="Arial" w:eastAsia="Arial" w:cs="Arial"/>
            <w:b w:val="0"/>
            <w:i w:val="0"/>
            <w:strike w:val="0"/>
            <w:color w:val="0000ff"/>
            <w:sz w:val="20"/>
          </w:rPr>
          <w:t xml:space="preserve">4 части 1</w:t>
        </w:r>
      </w:hyperlink>
      <w:r>
        <w:rPr>
          <w:rFonts w:ascii="Arial" w:hAnsi="Arial" w:eastAsia="Arial" w:cs="Arial"/>
          <w:b w:val="0"/>
          <w:i w:val="0"/>
          <w:strike w:val="0"/>
          <w:sz w:val="20"/>
        </w:rPr>
        <w:t xml:space="preserve"> настоящей статьи принимается руководителем органа местного самоуправления и оформляется соответствующим правовым актом.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правовом акте указываются вид поощрения и основания его применения.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Допускается одновременное применение нескольких видов поощрений. При этом сочетаются меры морального и материального стимулирования деятельности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Муниципальным служащим в связи с выходом на пенсию производится выплата единовременного поощрения за установленную муниципальными нормативными правовыми актами выслугу лет (стаж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0" w:name="Par365"/>
      <w:r/>
      <w:bookmarkEnd w:id="40"/>
      <w:r>
        <w:rPr>
          <w:rFonts w:ascii="Arial" w:hAnsi="Arial" w:eastAsia="Arial" w:cs="Arial"/>
          <w:b w:val="0"/>
          <w:i w:val="0"/>
          <w:strike w:val="0"/>
          <w:sz w:val="20"/>
        </w:rPr>
        <w:t xml:space="preserve">Статья 25. Дисциплинарная ответственность</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 с</w:t>
      </w:r>
      <w:r>
        <w:rPr>
          <w:rFonts w:ascii="Arial" w:hAnsi="Arial" w:eastAsia="Arial" w:cs="Arial"/>
          <w:b w:val="0"/>
          <w:i w:val="0"/>
          <w:strike w:val="0"/>
          <w:sz w:val="20"/>
        </w:rPr>
        <w:t xml:space="preserve">овершение дисциплинарного проступка - неисполнение или ненадлежащее исполнение муниципальным служащим по его вине возложенных на него служебных обязанностей - представитель нанимателя (работодатель) имеет право применить следующие дисциплинарные взыскания: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замечание;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выговор;</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увольнение с муниципальной службы по соответствующим основаниям.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Муниципальный служащий, допустивший дисциплинарный проступок, может быть временно (но не более чем на один месяц), до решения вопроса</w:t>
      </w:r>
      <w:r>
        <w:rPr>
          <w:rFonts w:ascii="Arial" w:hAnsi="Arial" w:eastAsia="Arial" w:cs="Arial"/>
          <w:b w:val="0"/>
          <w:i w:val="0"/>
          <w:strike w:val="0"/>
          <w:sz w:val="20"/>
        </w:rPr>
        <w:t xml:space="preserve"> о его дисциплинарной ответственности, отстранен от исполнения должностных обязанностей с сохранением денежного содержания. Отстранение муниципального служащего от исполнения должностных обязанностей в этом случае производится муниципальным правовым актом.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Порядок применения и снятия дисциплинарных взысканий определяется трудовым законодательством.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1" w:name="Par375"/>
      <w:r/>
      <w:bookmarkEnd w:id="41"/>
      <w:r>
        <w:rPr>
          <w:rFonts w:ascii="Arial" w:hAnsi="Arial" w:eastAsia="Arial" w:cs="Arial"/>
          <w:b w:val="0"/>
          <w:i w:val="0"/>
          <w:strike w:val="0"/>
          <w:sz w:val="20"/>
        </w:rPr>
        <w:t xml:space="preserve">Статья 26. Взыскания за несоблюдение</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ограничений и запретов, требований о предотвращении</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или об урегулировании конфликта интересов</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и неисполнение обязанностей, установленных</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 целях противодействия коррупции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42" w:name="Par381"/>
      <w:r/>
      <w:bookmarkEnd w:id="42"/>
      <w:r>
        <w:rPr>
          <w:rFonts w:ascii="Arial" w:hAnsi="Arial" w:eastAsia="Arial" w:cs="Arial"/>
          <w:b w:val="0"/>
          <w:i w:val="0"/>
          <w:strike w:val="0"/>
          <w:sz w:val="20"/>
        </w:rPr>
        <w:t xml:space="preserve">1. За несоблюдение муниципальным служащим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настоящим Положением, Федеральным </w:t>
      </w:r>
      <w:hyperlink r:id="rId38" w:tooltip="consultantplus://offline/ref=044D5261D4C39E8210906B11CAD285B1FDA9E0D783463599011AF7D8A6z5BEK" w:history="1">
        <w:r>
          <w:rPr>
            <w:rFonts w:ascii="Arial" w:hAnsi="Arial" w:eastAsia="Arial" w:cs="Arial"/>
            <w:b w:val="0"/>
            <w:i w:val="0"/>
            <w:strike w:val="0"/>
            <w:color w:val="0000ff"/>
            <w:sz w:val="20"/>
          </w:rPr>
          <w:t xml:space="preserve">законом</w:t>
        </w:r>
      </w:hyperlink>
      <w:r>
        <w:rPr>
          <w:rFonts w:ascii="Arial" w:hAnsi="Arial" w:eastAsia="Arial" w:cs="Arial"/>
          <w:b w:val="0"/>
          <w:i w:val="0"/>
          <w:strike w:val="0"/>
          <w:sz w:val="20"/>
        </w:rPr>
        <w:t xml:space="preserve"> от 25 декабря 2008 года N 273-ФЗ "О противодействии коррупции" и другими федеральными законами, налагаются взыскания, предусмотренные </w:t>
      </w:r>
      <w:hyperlink w:history="1">
        <w:r>
          <w:rPr>
            <w:rFonts w:ascii="Arial" w:hAnsi="Arial" w:eastAsia="Arial" w:cs="Arial"/>
            <w:b w:val="0"/>
            <w:i w:val="0"/>
            <w:strike w:val="0"/>
            <w:color w:val="0000ff"/>
            <w:sz w:val="20"/>
          </w:rPr>
          <w:t xml:space="preserve">статьей 25</w:t>
        </w:r>
      </w:hyperlink>
      <w:r>
        <w:rPr>
          <w:rFonts w:ascii="Arial" w:hAnsi="Arial" w:eastAsia="Arial" w:cs="Arial"/>
          <w:b w:val="0"/>
          <w:i w:val="0"/>
          <w:strike w:val="0"/>
          <w:sz w:val="20"/>
        </w:rPr>
        <w:t xml:space="preserve"> настоящего Положения.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bookmarkStart w:id="43" w:name="Par382"/>
      <w:r/>
      <w:bookmarkEnd w:id="43"/>
      <w:r>
        <w:rPr>
          <w:rFonts w:ascii="Arial" w:hAnsi="Arial" w:eastAsia="Arial" w:cs="Arial"/>
          <w:b w:val="0"/>
          <w:i w:val="0"/>
          <w:strike w:val="0"/>
          <w:sz w:val="20"/>
        </w:rPr>
        <w:t xml:space="preserve">2. Муниципальный служащий подлежит увольнению с муниципальной службы в связи с утратой доверия в случаях совершения правонарушений, установленных </w:t>
      </w:r>
      <w:hyperlink w:history="1">
        <w:r>
          <w:rPr>
            <w:rFonts w:ascii="Arial" w:hAnsi="Arial" w:eastAsia="Arial" w:cs="Arial"/>
            <w:b w:val="0"/>
            <w:i w:val="0"/>
            <w:strike w:val="0"/>
            <w:color w:val="0000ff"/>
            <w:sz w:val="20"/>
          </w:rPr>
          <w:t xml:space="preserve">статьями 13</w:t>
        </w:r>
      </w:hyperlink>
      <w:r>
        <w:rPr>
          <w:rFonts w:ascii="Arial" w:hAnsi="Arial" w:eastAsia="Arial" w:cs="Arial"/>
          <w:b w:val="0"/>
          <w:i w:val="0"/>
          <w:strike w:val="0"/>
          <w:sz w:val="20"/>
        </w:rPr>
        <w:t xml:space="preserve"> и </w:t>
      </w:r>
      <w:hyperlink w:history="1">
        <w:r>
          <w:rPr>
            <w:rFonts w:ascii="Arial" w:hAnsi="Arial" w:eastAsia="Arial" w:cs="Arial"/>
            <w:b w:val="0"/>
            <w:i w:val="0"/>
            <w:strike w:val="0"/>
            <w:color w:val="0000ff"/>
            <w:sz w:val="20"/>
          </w:rPr>
          <w:t xml:space="preserve">15</w:t>
        </w:r>
      </w:hyperlink>
      <w:r>
        <w:rPr>
          <w:rFonts w:ascii="Arial" w:hAnsi="Arial" w:eastAsia="Arial" w:cs="Arial"/>
          <w:b w:val="0"/>
          <w:i w:val="0"/>
          <w:strike w:val="0"/>
          <w:sz w:val="20"/>
        </w:rPr>
        <w:t xml:space="preserve"> настоящего Положения.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Взыскания, предусмотренные </w:t>
      </w:r>
      <w:hyperlink w:history="1">
        <w:r>
          <w:rPr>
            <w:rFonts w:ascii="Arial" w:hAnsi="Arial" w:eastAsia="Arial" w:cs="Arial"/>
            <w:b w:val="0"/>
            <w:i w:val="0"/>
            <w:strike w:val="0"/>
            <w:color w:val="0000ff"/>
            <w:sz w:val="20"/>
          </w:rPr>
          <w:t xml:space="preserve">ст. 13</w:t>
        </w:r>
      </w:hyperlink>
      <w:r>
        <w:rPr>
          <w:rFonts w:ascii="Arial" w:hAnsi="Arial" w:eastAsia="Arial" w:cs="Arial"/>
          <w:b w:val="0"/>
          <w:i w:val="0"/>
          <w:strike w:val="0"/>
          <w:sz w:val="20"/>
        </w:rPr>
        <w:t xml:space="preserve">, </w:t>
      </w:r>
      <w:hyperlink w:history="1">
        <w:r>
          <w:rPr>
            <w:rFonts w:ascii="Arial" w:hAnsi="Arial" w:eastAsia="Arial" w:cs="Arial"/>
            <w:b w:val="0"/>
            <w:i w:val="0"/>
            <w:strike w:val="0"/>
            <w:color w:val="0000ff"/>
            <w:sz w:val="20"/>
          </w:rPr>
          <w:t xml:space="preserve">15</w:t>
        </w:r>
      </w:hyperlink>
      <w:r>
        <w:rPr>
          <w:rFonts w:ascii="Arial" w:hAnsi="Arial" w:eastAsia="Arial" w:cs="Arial"/>
          <w:b w:val="0"/>
          <w:i w:val="0"/>
          <w:strike w:val="0"/>
          <w:sz w:val="20"/>
        </w:rPr>
        <w:t xml:space="preserve"> и </w:t>
      </w:r>
      <w:hyperlink w:history="1">
        <w:r>
          <w:rPr>
            <w:rFonts w:ascii="Arial" w:hAnsi="Arial" w:eastAsia="Arial" w:cs="Arial"/>
            <w:b w:val="0"/>
            <w:i w:val="0"/>
            <w:strike w:val="0"/>
            <w:color w:val="0000ff"/>
            <w:sz w:val="20"/>
          </w:rPr>
          <w:t xml:space="preserve">25</w:t>
        </w:r>
      </w:hyperlink>
      <w:r>
        <w:rPr>
          <w:rFonts w:ascii="Arial" w:hAnsi="Arial" w:eastAsia="Arial" w:cs="Arial"/>
          <w:b w:val="0"/>
          <w:i w:val="0"/>
          <w:strike w:val="0"/>
          <w:sz w:val="20"/>
        </w:rPr>
        <w:t xml:space="preserve"> настоящего Положения, применяются представителем нанимателя (работодателем) в порядке, установленном нормативными правовыми актами Кемеровской области и муниципальными нормативными правовыми актами, на основании: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доклада о результатах проверки, проведенной подразделением кадровой службы соответствующего муниципального органа по профилактике коррупционных и иных правонарушений;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рекомендации комиссии по соблюдению требований к служебному поведению муниципальных служащих и урегулированию конфликта интересов в случае, если доклад о результатах проверки направлялся в комиссию;</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объяснений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иных материалов.</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При применении взысканий, предусмотренных </w:t>
      </w:r>
      <w:hyperlink w:history="1">
        <w:r>
          <w:rPr>
            <w:rFonts w:ascii="Arial" w:hAnsi="Arial" w:eastAsia="Arial" w:cs="Arial"/>
            <w:b w:val="0"/>
            <w:i w:val="0"/>
            <w:strike w:val="0"/>
            <w:color w:val="0000ff"/>
            <w:sz w:val="20"/>
          </w:rPr>
          <w:t xml:space="preserve">ст. 13</w:t>
        </w:r>
      </w:hyperlink>
      <w:r>
        <w:rPr>
          <w:rFonts w:ascii="Arial" w:hAnsi="Arial" w:eastAsia="Arial" w:cs="Arial"/>
          <w:b w:val="0"/>
          <w:i w:val="0"/>
          <w:strike w:val="0"/>
          <w:sz w:val="20"/>
        </w:rPr>
        <w:t xml:space="preserve">, </w:t>
      </w:r>
      <w:hyperlink w:history="1">
        <w:r>
          <w:rPr>
            <w:rFonts w:ascii="Arial" w:hAnsi="Arial" w:eastAsia="Arial" w:cs="Arial"/>
            <w:b w:val="0"/>
            <w:i w:val="0"/>
            <w:strike w:val="0"/>
            <w:color w:val="0000ff"/>
            <w:sz w:val="20"/>
          </w:rPr>
          <w:t xml:space="preserve">15</w:t>
        </w:r>
      </w:hyperlink>
      <w:r>
        <w:rPr>
          <w:rFonts w:ascii="Arial" w:hAnsi="Arial" w:eastAsia="Arial" w:cs="Arial"/>
          <w:b w:val="0"/>
          <w:i w:val="0"/>
          <w:strike w:val="0"/>
          <w:sz w:val="20"/>
        </w:rPr>
        <w:t xml:space="preserve"> и </w:t>
      </w:r>
      <w:hyperlink w:history="1">
        <w:r>
          <w:rPr>
            <w:rFonts w:ascii="Arial" w:hAnsi="Arial" w:eastAsia="Arial" w:cs="Arial"/>
            <w:b w:val="0"/>
            <w:i w:val="0"/>
            <w:strike w:val="0"/>
            <w:color w:val="0000ff"/>
            <w:sz w:val="20"/>
          </w:rPr>
          <w:t xml:space="preserve">25</w:t>
        </w:r>
      </w:hyperlink>
      <w:r>
        <w:rPr>
          <w:rFonts w:ascii="Arial" w:hAnsi="Arial" w:eastAsia="Arial" w:cs="Arial"/>
          <w:b w:val="0"/>
          <w:i w:val="0"/>
          <w:strike w:val="0"/>
          <w:sz w:val="20"/>
        </w:rPr>
        <w:t xml:space="preserve"> настоящего Положения, учитываются характер совершенного муниципальным служащим коррупционного правонарушения, его тяжесть, обстоятельства, при которых оно совершено, соблюдение муниципальным служащим других ограничений и за</w:t>
      </w:r>
      <w:r>
        <w:rPr>
          <w:rFonts w:ascii="Arial" w:hAnsi="Arial" w:eastAsia="Arial" w:cs="Arial"/>
          <w:b w:val="0"/>
          <w:i w:val="0"/>
          <w:strike w:val="0"/>
          <w:sz w:val="20"/>
        </w:rPr>
        <w:t xml:space="preserve">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исполнения муниципальным служащим своих должностных обязанностей.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В акте о применении к муниципальному служащему взыскания в случае совершения им коррупционного правонарушения в качестве основания применения взыскания указывается </w:t>
      </w:r>
      <w:hyperlink w:history="1">
        <w:r>
          <w:rPr>
            <w:rFonts w:ascii="Arial" w:hAnsi="Arial" w:eastAsia="Arial" w:cs="Arial"/>
            <w:b w:val="0"/>
            <w:i w:val="0"/>
            <w:strike w:val="0"/>
            <w:color w:val="0000ff"/>
            <w:sz w:val="20"/>
          </w:rPr>
          <w:t xml:space="preserve">часть 1</w:t>
        </w:r>
      </w:hyperlink>
      <w:r>
        <w:rPr>
          <w:rFonts w:ascii="Arial" w:hAnsi="Arial" w:eastAsia="Arial" w:cs="Arial"/>
          <w:b w:val="0"/>
          <w:i w:val="0"/>
          <w:strike w:val="0"/>
          <w:sz w:val="20"/>
        </w:rPr>
        <w:t xml:space="preserve"> или </w:t>
      </w:r>
      <w:hyperlink w:history="1">
        <w:r>
          <w:rPr>
            <w:rFonts w:ascii="Arial" w:hAnsi="Arial" w:eastAsia="Arial" w:cs="Arial"/>
            <w:b w:val="0"/>
            <w:i w:val="0"/>
            <w:strike w:val="0"/>
            <w:color w:val="0000ff"/>
            <w:sz w:val="20"/>
          </w:rPr>
          <w:t xml:space="preserve">2</w:t>
        </w:r>
      </w:hyperlink>
      <w:r>
        <w:rPr>
          <w:rFonts w:ascii="Arial" w:hAnsi="Arial" w:eastAsia="Arial" w:cs="Arial"/>
          <w:b w:val="0"/>
          <w:i w:val="0"/>
          <w:strike w:val="0"/>
          <w:sz w:val="20"/>
        </w:rPr>
        <w:t xml:space="preserve"> настоящей статьи.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6. Взыскания, предусмотренные </w:t>
      </w:r>
      <w:hyperlink w:history="1">
        <w:r>
          <w:rPr>
            <w:rFonts w:ascii="Arial" w:hAnsi="Arial" w:eastAsia="Arial" w:cs="Arial"/>
            <w:b w:val="0"/>
            <w:i w:val="0"/>
            <w:strike w:val="0"/>
            <w:color w:val="0000ff"/>
            <w:sz w:val="20"/>
          </w:rPr>
          <w:t xml:space="preserve">ст. 13</w:t>
        </w:r>
      </w:hyperlink>
      <w:r>
        <w:rPr>
          <w:rFonts w:ascii="Arial" w:hAnsi="Arial" w:eastAsia="Arial" w:cs="Arial"/>
          <w:b w:val="0"/>
          <w:i w:val="0"/>
          <w:strike w:val="0"/>
          <w:sz w:val="20"/>
        </w:rPr>
        <w:t xml:space="preserve">, </w:t>
      </w:r>
      <w:hyperlink w:history="1">
        <w:r>
          <w:rPr>
            <w:rFonts w:ascii="Arial" w:hAnsi="Arial" w:eastAsia="Arial" w:cs="Arial"/>
            <w:b w:val="0"/>
            <w:i w:val="0"/>
            <w:strike w:val="0"/>
            <w:color w:val="0000ff"/>
            <w:sz w:val="20"/>
          </w:rPr>
          <w:t xml:space="preserve">15</w:t>
        </w:r>
      </w:hyperlink>
      <w:r>
        <w:rPr>
          <w:rFonts w:ascii="Arial" w:hAnsi="Arial" w:eastAsia="Arial" w:cs="Arial"/>
          <w:b w:val="0"/>
          <w:i w:val="0"/>
          <w:strike w:val="0"/>
          <w:sz w:val="20"/>
        </w:rPr>
        <w:t xml:space="preserve"> и </w:t>
      </w:r>
      <w:hyperlink w:history="1">
        <w:r>
          <w:rPr>
            <w:rFonts w:ascii="Arial" w:hAnsi="Arial" w:eastAsia="Arial" w:cs="Arial"/>
            <w:b w:val="0"/>
            <w:i w:val="0"/>
            <w:strike w:val="0"/>
            <w:color w:val="0000ff"/>
            <w:sz w:val="20"/>
          </w:rPr>
          <w:t xml:space="preserve">25</w:t>
        </w:r>
      </w:hyperlink>
      <w:r>
        <w:rPr>
          <w:rFonts w:ascii="Arial" w:hAnsi="Arial" w:eastAsia="Arial" w:cs="Arial"/>
          <w:b w:val="0"/>
          <w:i w:val="0"/>
          <w:strike w:val="0"/>
          <w:sz w:val="20"/>
        </w:rPr>
        <w:t xml:space="preserve"> настоящего Положения, применяются в порядке и сроки, которые установлены настоящим Федеральным законом, нормативными правовыми Кемеровской области и муниципальными нормативными правовыми актами.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4" w:name="Par392"/>
      <w:r/>
      <w:bookmarkEnd w:id="44"/>
      <w:r>
        <w:rPr>
          <w:rFonts w:ascii="Arial" w:hAnsi="Arial" w:eastAsia="Arial" w:cs="Arial"/>
          <w:b w:val="0"/>
          <w:i w:val="0"/>
          <w:strike w:val="0"/>
          <w:sz w:val="20"/>
        </w:rPr>
        <w:t xml:space="preserve">Статья 27. Повышение квалификации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Переподготовка (переквалификация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Основной формой повышения квалификации муниципальных служащих является самообразование.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Повышение квалификации муниципальных служащих производится на плановой основе.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План повышения квалификации муниципальных служащих утверждается руководителем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Повышение квалификации производится в форме краткосрочного (сроком до одного месяца) или долгосрочного обучения (сроком более одного месяца) на курсах повышения квалификации, семинарах, стажировках.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Повышение квалификации может производиться как с отрывом (очная форма обучения), так и без отрыва от выполнения должностных обязанностей (заочная форма обучения).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Порядок организации и проведения повышения квалификации определяется нормативным правовым актом органа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 Пер</w:t>
      </w:r>
      <w:r>
        <w:rPr>
          <w:rFonts w:ascii="Arial" w:hAnsi="Arial" w:eastAsia="Arial" w:cs="Arial"/>
          <w:b w:val="0"/>
          <w:i w:val="0"/>
          <w:strike w:val="0"/>
          <w:sz w:val="20"/>
        </w:rPr>
        <w:t xml:space="preserve">еподготовка (переквалификация) муниципальных служащих может производиться в случаях перевода на должность муниципальной службы иной специализации и в иных случаях, предусмотренных нормативными правовыми актами руководителей органов местного самоуправления.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Переподготовка (переквалификация) производится как с отрывом (очная форма обучения), так и без отрыва от выполнения должностных обязанностей (заочная форма обучения).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5" w:name="Par404"/>
      <w:r/>
      <w:bookmarkEnd w:id="45"/>
      <w:r>
        <w:rPr>
          <w:rFonts w:ascii="Arial" w:hAnsi="Arial" w:eastAsia="Arial" w:cs="Arial"/>
          <w:b w:val="0"/>
          <w:i w:val="0"/>
          <w:strike w:val="0"/>
          <w:sz w:val="20"/>
        </w:rPr>
        <w:t xml:space="preserve">Статья 28. Прекращение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Помимо оснований для расторжения трудового договора, предусмотренных Трудовым </w:t>
      </w:r>
      <w:hyperlink r:id="rId39" w:tooltip="consultantplus://offline/ref=044D5261D4C39E8210906B11CAD285B1FDA9E5D4824C3599011AF7D8A6z5BEK" w:history="1">
        <w:r>
          <w:rPr>
            <w:rFonts w:ascii="Arial" w:hAnsi="Arial" w:eastAsia="Arial" w:cs="Arial"/>
            <w:b w:val="0"/>
            <w:i w:val="0"/>
            <w:strike w:val="0"/>
            <w:color w:val="0000ff"/>
            <w:sz w:val="20"/>
          </w:rPr>
          <w:t xml:space="preserve">кодексом</w:t>
        </w:r>
      </w:hyperlink>
      <w:r>
        <w:rPr>
          <w:rFonts w:ascii="Arial" w:hAnsi="Arial" w:eastAsia="Arial" w:cs="Arial"/>
          <w:b w:val="0"/>
          <w:i w:val="0"/>
          <w:strike w:val="0"/>
          <w:sz w:val="20"/>
        </w:rPr>
        <w:t xml:space="preserve"> Российской Федерации, трудовой договор (контракт) с муниципальным служащим может быть также расторгнут по инициативе представителя нанимателя (работодателя) в случае: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достижения предельного возраста, установленного для замещения должности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w:t>
      </w:r>
      <w:r>
        <w:rPr>
          <w:rFonts w:ascii="Arial" w:hAnsi="Arial" w:eastAsia="Arial" w:cs="Arial"/>
          <w:b w:val="0"/>
          <w:i w:val="0"/>
          <w:strike w:val="0"/>
          <w:sz w:val="20"/>
        </w:rPr>
        <w:t xml:space="preserve">й гражданин имеет право находиться на муниципальной службе,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w:t>
      </w:r>
      <w:r>
        <w:rPr>
          <w:rFonts w:ascii="Arial" w:hAnsi="Arial" w:eastAsia="Arial" w:cs="Arial"/>
          <w:b w:val="0"/>
          <w:i w:val="0"/>
          <w:strike w:val="0"/>
          <w:sz w:val="20"/>
        </w:rPr>
        <w:t xml:space="preserve">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находиться на муниципальной службе;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несоблюдения ограничений и запретов, связанных с муниципальной службой и установленных </w:t>
      </w:r>
      <w:hyperlink r:id="rId40" w:tooltip="consultantplus://offline/ref=044D5261D4C39E8210906B11CAD285B1FDA9E5D083413599011AF7D8A65E577C62D9BCB46986AFCDz8B6K" w:history="1">
        <w:r>
          <w:rPr>
            <w:rFonts w:ascii="Arial" w:hAnsi="Arial" w:eastAsia="Arial" w:cs="Arial"/>
            <w:b w:val="0"/>
            <w:i w:val="0"/>
            <w:strike w:val="0"/>
            <w:color w:val="0000ff"/>
            <w:sz w:val="20"/>
          </w:rPr>
          <w:t xml:space="preserve">статьями 13</w:t>
        </w:r>
      </w:hyperlink>
      <w:r>
        <w:rPr>
          <w:rFonts w:ascii="Arial" w:hAnsi="Arial" w:eastAsia="Arial" w:cs="Arial"/>
          <w:b w:val="0"/>
          <w:i w:val="0"/>
          <w:strike w:val="0"/>
          <w:sz w:val="20"/>
        </w:rPr>
        <w:t xml:space="preserve">, </w:t>
      </w:r>
      <w:hyperlink r:id="rId41" w:tooltip="consultantplus://offline/ref=044D5261D4C39E8210906B11CAD285B1FDA9E5D083413599011AF7D8A65E577C62D9BCB46986AEC4z8B0K" w:history="1">
        <w:r>
          <w:rPr>
            <w:rFonts w:ascii="Arial" w:hAnsi="Arial" w:eastAsia="Arial" w:cs="Arial"/>
            <w:b w:val="0"/>
            <w:i w:val="0"/>
            <w:strike w:val="0"/>
            <w:color w:val="0000ff"/>
            <w:sz w:val="20"/>
          </w:rPr>
          <w:t xml:space="preserve">14</w:t>
        </w:r>
      </w:hyperlink>
      <w:r>
        <w:rPr>
          <w:rFonts w:ascii="Arial" w:hAnsi="Arial" w:eastAsia="Arial" w:cs="Arial"/>
          <w:b w:val="0"/>
          <w:i w:val="0"/>
          <w:strike w:val="0"/>
          <w:sz w:val="20"/>
        </w:rPr>
        <w:t xml:space="preserve">, </w:t>
      </w:r>
      <w:hyperlink r:id="rId42" w:tooltip="consultantplus://offline/ref=044D5261D4C39E8210906B11CAD285B1FDA9E5D083413599011AF7D8A65E577C62D9BCB46986ADCCz8BDK" w:history="1">
        <w:r>
          <w:rPr>
            <w:rFonts w:ascii="Arial" w:hAnsi="Arial" w:eastAsia="Arial" w:cs="Arial"/>
            <w:b w:val="0"/>
            <w:i w:val="0"/>
            <w:strike w:val="0"/>
            <w:color w:val="0000ff"/>
            <w:sz w:val="20"/>
          </w:rPr>
          <w:t xml:space="preserve">14.1</w:t>
        </w:r>
      </w:hyperlink>
      <w:r>
        <w:rPr>
          <w:rFonts w:ascii="Arial" w:hAnsi="Arial" w:eastAsia="Arial" w:cs="Arial"/>
          <w:b w:val="0"/>
          <w:i w:val="0"/>
          <w:strike w:val="0"/>
          <w:sz w:val="20"/>
        </w:rPr>
        <w:t xml:space="preserve"> и </w:t>
      </w:r>
      <w:hyperlink r:id="rId43" w:tooltip="consultantplus://offline/ref=044D5261D4C39E8210906B11CAD285B1FDA9E5D083413599011AF7D8A65E577C62D9BCB1z6B8K" w:history="1">
        <w:r>
          <w:rPr>
            <w:rFonts w:ascii="Arial" w:hAnsi="Arial" w:eastAsia="Arial" w:cs="Arial"/>
            <w:b w:val="0"/>
            <w:i w:val="0"/>
            <w:strike w:val="0"/>
            <w:color w:val="0000ff"/>
            <w:sz w:val="20"/>
          </w:rPr>
          <w:t xml:space="preserve">15</w:t>
        </w:r>
      </w:hyperlink>
      <w:r>
        <w:rPr>
          <w:rFonts w:ascii="Arial" w:hAnsi="Arial" w:eastAsia="Arial" w:cs="Arial"/>
          <w:b w:val="0"/>
          <w:i w:val="0"/>
          <w:strike w:val="0"/>
          <w:sz w:val="20"/>
        </w:rPr>
        <w:t xml:space="preserve"> Федерального закона "О муниципальной службе в Российской Федерации" от 02.03.2007 N 25-ФЗ;</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применения административного наказания в виде дисквалификации.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Допускается продление срока нахождения на муницип</w:t>
      </w:r>
      <w:r>
        <w:rPr>
          <w:rFonts w:ascii="Arial" w:hAnsi="Arial" w:eastAsia="Arial" w:cs="Arial"/>
          <w:b w:val="0"/>
          <w:i w:val="0"/>
          <w:strike w:val="0"/>
          <w:sz w:val="20"/>
        </w:rPr>
        <w:t xml:space="preserve">альной службе муниципальных служащих, достигших предельного возраста, установленного для замещения должности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Выход на пенсию муниципального служащего осуществляется в порядке, установленном Федеральным законом.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46" w:name="Par414"/>
      <w:r/>
      <w:bookmarkEnd w:id="46"/>
      <w:r>
        <w:rPr>
          <w:rFonts w:ascii="Arial" w:hAnsi="Arial" w:eastAsia="Arial" w:cs="Arial"/>
          <w:b w:val="0"/>
          <w:i w:val="0"/>
          <w:strike w:val="0"/>
          <w:sz w:val="20"/>
        </w:rPr>
        <w:t xml:space="preserve">Глава 5. ЭКОНОМИЧЕСКИЕ И СОЦИАЛЬНЫЕ ГАРАНТИИ</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ДЛЯ МУНИЦИПАЛЬНЫХ СЛУЖАЩИХ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7" w:name="Par417"/>
      <w:r/>
      <w:bookmarkEnd w:id="47"/>
      <w:r>
        <w:rPr>
          <w:rFonts w:ascii="Arial" w:hAnsi="Arial" w:eastAsia="Arial" w:cs="Arial"/>
          <w:b w:val="0"/>
          <w:i w:val="0"/>
          <w:strike w:val="0"/>
          <w:sz w:val="20"/>
        </w:rPr>
        <w:t xml:space="preserve">Статья 29. Общие принципы оплаты труда</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Оплата труда муниципального служащего производится в виде денежного содерж</w:t>
      </w:r>
      <w:r>
        <w:rPr>
          <w:rFonts w:ascii="Arial" w:hAnsi="Arial" w:eastAsia="Arial" w:cs="Arial"/>
          <w:b w:val="0"/>
          <w:i w:val="0"/>
          <w:strike w:val="0"/>
          <w:sz w:val="20"/>
        </w:rPr>
        <w:t xml:space="preserve">ания, которое состоит из должностного оклада муниципального служащего в соответствии с замещаемой им должностью муниципальной службы (далее - должностной оклад), а также из ежемесячных и иных дополнительных выплат, определяемых законом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Органы местного самоуправления самостоятельно определяют размер и условия оплаты труда муни</w:t>
      </w:r>
      <w:r>
        <w:rPr>
          <w:rFonts w:ascii="Arial" w:hAnsi="Arial" w:eastAsia="Arial" w:cs="Arial"/>
          <w:b w:val="0"/>
          <w:i w:val="0"/>
          <w:strike w:val="0"/>
          <w:sz w:val="20"/>
        </w:rPr>
        <w:t xml:space="preserve">ципальных служащих. Размер должностного оклада, а также размер ежемесячных и иных дополнительных выплат и порядок их осуществления устанавливаются муниципальными правовыми актами, издаваемыми Советом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8" w:name="Par423"/>
      <w:r/>
      <w:bookmarkEnd w:id="48"/>
      <w:r>
        <w:rPr>
          <w:rFonts w:ascii="Arial" w:hAnsi="Arial" w:eastAsia="Arial" w:cs="Arial"/>
          <w:b w:val="0"/>
          <w:i w:val="0"/>
          <w:strike w:val="0"/>
          <w:sz w:val="20"/>
        </w:rPr>
        <w:t xml:space="preserve">Статья 30. Отпуск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Муниципальному служащему устанавливается отпуск:</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 ежегодный оплачиваемый отпуск продолжительностью не менее 30 календарных дней;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 ежегодный дополнительный оплачиваемый отпуск за выслугу лет продолжительностью не более 15 календарных дней, продолжительность дополнительного отпуска за выслугу лет исчисляется из расчета один календарный день за каждый год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 ежегодный дополнительный оплачиваемый отпуск за ненормируемый рабочий день продолжительностью не более 5 календарных дней.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Продолжительность ежегодного дополнительного оплачиваемого отпуска за ненормируемый рабочий день устанавливается по каждой группе должностей: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высшая, главная, ведущая - 5 календарных дней,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старшая - 4 календарных дня,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младшая - 3 календарных дня.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49" w:name="Par434"/>
      <w:r/>
      <w:bookmarkEnd w:id="49"/>
      <w:r>
        <w:rPr>
          <w:rFonts w:ascii="Arial" w:hAnsi="Arial" w:eastAsia="Arial" w:cs="Arial"/>
          <w:b w:val="0"/>
          <w:i w:val="0"/>
          <w:strike w:val="0"/>
          <w:sz w:val="20"/>
        </w:rPr>
        <w:t xml:space="preserve">Статья 31. Порядок назначения муниципальному служащему</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пенсии за выслугу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Муниципальным служащим устанавливается пенсия за выслугу лет. Порядок начисления муниципальному служащему пенсии </w:t>
      </w:r>
      <w:r>
        <w:rPr>
          <w:rFonts w:ascii="Arial" w:hAnsi="Arial" w:eastAsia="Arial" w:cs="Arial"/>
          <w:b w:val="0"/>
          <w:i w:val="0"/>
          <w:strike w:val="0"/>
          <w:sz w:val="20"/>
        </w:rPr>
        <w:t xml:space="preserve">за выслугу лет регулируется нормативным правовым актом органа местного самоуправления, который принимается в соответствии с законом Кемеровской области, регулирующим начисление пенсии за выслугу лет государственным гражданским служащим Кемеровской области.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В стаж (общую продолжительность) муниципальной службы для установления пенсии за выслугу лет включаются периоды работы на: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должностях муниципальной службы (муниципальных должностях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муниципальных должностях;</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государственных должностях Российской Федерации и государственных должностях субъектов Российской Федерации;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должностях государственной гражданской службы, воинских должностях и должностях правоохранительной службы (государственных должностях государственной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 Стаж (общая продолжительность) муниципальной службы, дающий право на установление муниципальному служащему пенсии за выслугу лет, исчисляется в порядке, установленном </w:t>
      </w:r>
      <w:hyperlink w:history="1">
        <w:r>
          <w:rPr>
            <w:rFonts w:ascii="Arial" w:hAnsi="Arial" w:eastAsia="Arial" w:cs="Arial"/>
            <w:b w:val="0"/>
            <w:i w:val="0"/>
            <w:strike w:val="0"/>
            <w:color w:val="0000ff"/>
            <w:sz w:val="20"/>
          </w:rPr>
          <w:t xml:space="preserve">пунктами 2</w:t>
        </w:r>
      </w:hyperlink>
      <w:r>
        <w:rPr>
          <w:rFonts w:ascii="Arial" w:hAnsi="Arial" w:eastAsia="Arial" w:cs="Arial"/>
          <w:b w:val="0"/>
          <w:i w:val="0"/>
          <w:strike w:val="0"/>
          <w:sz w:val="20"/>
        </w:rPr>
        <w:t xml:space="preserve">, </w:t>
      </w:r>
      <w:hyperlink w:history="1">
        <w:r>
          <w:rPr>
            <w:rFonts w:ascii="Arial" w:hAnsi="Arial" w:eastAsia="Arial" w:cs="Arial"/>
            <w:b w:val="0"/>
            <w:i w:val="0"/>
            <w:strike w:val="0"/>
            <w:color w:val="0000ff"/>
            <w:sz w:val="20"/>
          </w:rPr>
          <w:t xml:space="preserve">3 статьи 23</w:t>
        </w:r>
      </w:hyperlink>
      <w:r>
        <w:rPr>
          <w:rFonts w:ascii="Arial" w:hAnsi="Arial" w:eastAsia="Arial" w:cs="Arial"/>
          <w:b w:val="0"/>
          <w:i w:val="0"/>
          <w:strike w:val="0"/>
          <w:sz w:val="20"/>
        </w:rPr>
        <w:t xml:space="preserve"> настоящего Положения.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 Пенсия за выслугу лет выплачивается за счет средств местного бюджета.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2"/>
      </w:pPr>
      <w:r/>
      <w:bookmarkStart w:id="50" w:name="Par446"/>
      <w:r/>
      <w:bookmarkEnd w:id="50"/>
      <w:r>
        <w:rPr>
          <w:rFonts w:ascii="Arial" w:hAnsi="Arial" w:eastAsia="Arial" w:cs="Arial"/>
          <w:b w:val="0"/>
          <w:i w:val="0"/>
          <w:strike w:val="0"/>
          <w:sz w:val="20"/>
        </w:rPr>
        <w:t xml:space="preserve">Статья 32. Заключительные положения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 Настоящее Положение подлежит уточнению по мере внесения изменений в федеральное законодательство, законодательство Кемеровской области, нормативные правовые акты 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 Изменения в настоящее Положение вносятся решением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outlineLvl w:val="0"/>
      </w:pPr>
      <w:r/>
      <w:bookmarkStart w:id="51" w:name="Par455"/>
      <w:r/>
      <w:bookmarkEnd w:id="51"/>
      <w:r>
        <w:rPr>
          <w:rFonts w:ascii="Arial" w:hAnsi="Arial" w:eastAsia="Arial" w:cs="Arial"/>
          <w:b w:val="0"/>
          <w:i w:val="0"/>
          <w:strike w:val="0"/>
          <w:sz w:val="20"/>
        </w:rPr>
        <w:t xml:space="preserve">Приложение N 2</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 решению</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Совета народных депутатов</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Анжеро-Судженского 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от 26 марта 2015 г. N 339</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i w:val="0"/>
          <w:strike w:val="0"/>
          <w:sz w:val="20"/>
        </w:rPr>
      </w:pPr>
      <w:r/>
      <w:bookmarkStart w:id="52" w:name="Par461"/>
      <w:r/>
      <w:bookmarkEnd w:id="52"/>
      <w:r>
        <w:rPr>
          <w:rFonts w:ascii="Arial" w:hAnsi="Arial" w:eastAsia="Arial" w:cs="Arial"/>
          <w:b/>
          <w:i w:val="0"/>
          <w:strike w:val="0"/>
          <w:sz w:val="20"/>
        </w:rPr>
        <w:t xml:space="preserve">РЕЕСТР</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ДОЛЖНОСТЕЙ МУНИЦИПАЛЬНОЙ СЛУЖБЫ В ОРГАНАХ МЕСТНОГО</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САМОУПРАВЛЕНИЯ АНЖЕРО-СУДЖЕНСКОГО ГОРОДСКОГО ОКРУГА</w:t>
      </w:r>
      <w:r>
        <w:rPr>
          <w:rFonts w:ascii="Arial" w:hAnsi="Arial" w:eastAsia="Arial" w:cs="Arial"/>
          <w:b/>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53" w:name="Par465"/>
      <w:r/>
      <w:bookmarkEnd w:id="53"/>
      <w:r>
        <w:rPr>
          <w:rFonts w:ascii="Arial" w:hAnsi="Arial" w:eastAsia="Arial" w:cs="Arial"/>
          <w:b w:val="0"/>
          <w:i w:val="0"/>
          <w:strike w:val="0"/>
          <w:sz w:val="20"/>
        </w:rPr>
        <w:t xml:space="preserve">Перечень 1</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Должности муниципальной службы, учреждаемые</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для непосредственного обеспечения исполнения полномочий</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лица, замещающего муниципальную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Высшая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Первый заместитель главы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главы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Помощник главы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Советник (консультант) главы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Пресс-секретарь главы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Помощник председателя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Советник (консультант) председателя Совета народных депутатов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54" w:name="Par483"/>
      <w:r/>
      <w:bookmarkEnd w:id="54"/>
      <w:r>
        <w:rPr>
          <w:rFonts w:ascii="Arial" w:hAnsi="Arial" w:eastAsia="Arial" w:cs="Arial"/>
          <w:b w:val="0"/>
          <w:i w:val="0"/>
          <w:strike w:val="0"/>
          <w:sz w:val="20"/>
        </w:rPr>
        <w:t xml:space="preserve">Перечень 2</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Должности муниципальной службы, учреждаемые для обеспечения</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исполнения полномочий представительного органа</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муниципального образования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самостоятельного отдела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Заведующий сектором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Консультант-советник</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Старшая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Главный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Ведущий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Младшая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1-й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2-й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55" w:name="Par505"/>
      <w:r/>
      <w:bookmarkEnd w:id="55"/>
      <w:r>
        <w:rPr>
          <w:rFonts w:ascii="Arial" w:hAnsi="Arial" w:eastAsia="Arial" w:cs="Arial"/>
          <w:b w:val="0"/>
          <w:i w:val="0"/>
          <w:strike w:val="0"/>
          <w:sz w:val="20"/>
        </w:rPr>
        <w:t xml:space="preserve">Перечень 3</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Должности муниципальной службы, учреждаемые</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для обеспечения исполнения полномочий</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администрации Анжеро-Судженского городского округа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Высшая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Председатель комитета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Главная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начальника управления</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председателя комитета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самостоятельного отдела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(заведующий)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(заведующий) отдела в управлении, комитете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начальника (заведующего) отдела,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Заведующий сектором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Консультант-советник</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Старшая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Главный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Ведущий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Младшая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1-й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2-й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outlineLvl w:val="1"/>
      </w:pPr>
      <w:r/>
      <w:bookmarkStart w:id="56" w:name="Par540"/>
      <w:r/>
      <w:bookmarkEnd w:id="56"/>
      <w:r>
        <w:rPr>
          <w:rFonts w:ascii="Arial" w:hAnsi="Arial" w:eastAsia="Arial" w:cs="Arial"/>
          <w:b w:val="0"/>
          <w:i w:val="0"/>
          <w:strike w:val="0"/>
          <w:sz w:val="20"/>
        </w:rPr>
        <w:t xml:space="preserve">Перечень 4</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Должности муниципальной службы, учреждаемые для обеспечения</w:t>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исполнения полномочий контрольно-счетной палаты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Главная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председателя контрольно-счетной палаты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Аудитор</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Начальник (заведующий) отдела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Заместитель начальника (заведующего) отдела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Заведующий сектором</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Консультант-советник</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Инспектор</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Старшая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Главный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Ведущий 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Младшая должность</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1-й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 2-й категории</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Специалист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outlineLvl w:val="0"/>
      </w:pPr>
      <w:r/>
      <w:bookmarkStart w:id="57" w:name="Par572"/>
      <w:r/>
      <w:bookmarkEnd w:id="57"/>
      <w:r>
        <w:rPr>
          <w:rFonts w:ascii="Arial" w:hAnsi="Arial" w:eastAsia="Arial" w:cs="Arial"/>
          <w:b w:val="0"/>
          <w:i w:val="0"/>
          <w:strike w:val="0"/>
          <w:sz w:val="20"/>
        </w:rPr>
        <w:t xml:space="preserve">Приложение N 3</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к решению</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Совета народных депутатов</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Анжеро-Судженского городского округа</w:t>
      </w:r>
      <w:r>
        <w:rPr>
          <w:rFonts w:ascii="Arial" w:hAnsi="Arial" w:eastAsia="Arial" w:cs="Arial"/>
          <w:b w:val="0"/>
          <w:i w:val="0"/>
          <w:strike w:val="0"/>
          <w:sz w:val="20"/>
        </w:rPr>
      </w:r>
    </w:p>
    <w:p>
      <w:pPr>
        <w:pStyle w:val="773"/>
        <w:ind w:left="0" w:firstLine="0"/>
        <w:jc w:val="right"/>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от 26 марта 2015 г. N 339</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0"/>
        <w:jc w:val="center"/>
        <w:spacing w:before="0" w:after="0" w:line="240" w:lineRule="auto"/>
        <w:rPr>
          <w:rFonts w:ascii="Arial" w:hAnsi="Arial" w:eastAsia="Arial" w:cs="Arial"/>
          <w:b/>
          <w:i w:val="0"/>
          <w:strike w:val="0"/>
          <w:sz w:val="20"/>
        </w:rPr>
      </w:pPr>
      <w:r/>
      <w:bookmarkStart w:id="58" w:name="Par578"/>
      <w:r/>
      <w:bookmarkEnd w:id="58"/>
      <w:r>
        <w:rPr>
          <w:rFonts w:ascii="Arial" w:hAnsi="Arial" w:eastAsia="Arial" w:cs="Arial"/>
          <w:b/>
          <w:i w:val="0"/>
          <w:strike w:val="0"/>
          <w:sz w:val="20"/>
        </w:rPr>
        <w:t xml:space="preserve">КВАЛИФИКАЦИОННЫЕ ТРЕБОВАНИЯ</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ДЛЯ ЗАМЕЩЕНИЯ ДОЛЖНОСТЕЙ МУНИЦИПАЛЬНОЙ СЛУЖБЫ</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В ОРГАНАХ МЕСТНОГО САМОУПРАВЛЕНИЯ</w:t>
      </w:r>
      <w:r>
        <w:rPr>
          <w:rFonts w:ascii="Arial" w:hAnsi="Arial" w:eastAsia="Arial" w:cs="Arial"/>
          <w:b/>
          <w:i w:val="0"/>
          <w:strike w:val="0"/>
          <w:sz w:val="20"/>
        </w:rPr>
      </w:r>
    </w:p>
    <w:p>
      <w:pPr>
        <w:pStyle w:val="773"/>
        <w:ind w:left="0" w:firstLine="0"/>
        <w:jc w:val="center"/>
        <w:spacing w:before="0" w:after="0" w:line="240" w:lineRule="auto"/>
        <w:rPr>
          <w:rFonts w:ascii="Arial" w:hAnsi="Arial" w:eastAsia="Arial" w:cs="Arial"/>
          <w:b/>
          <w:i w:val="0"/>
          <w:strike w:val="0"/>
          <w:sz w:val="20"/>
        </w:rPr>
      </w:pPr>
      <w:r>
        <w:rPr>
          <w:rFonts w:ascii="Arial" w:hAnsi="Arial" w:eastAsia="Arial" w:cs="Arial"/>
          <w:b/>
          <w:i w:val="0"/>
          <w:strike w:val="0"/>
          <w:sz w:val="20"/>
        </w:rPr>
        <w:t xml:space="preserve">АНЖЕРО-СУДЖЕНСКОГО ГОРОДСКОГО ОКРУГА</w:t>
      </w:r>
      <w:r>
        <w:rPr>
          <w:rFonts w:ascii="Arial" w:hAnsi="Arial" w:eastAsia="Arial" w:cs="Arial"/>
          <w:b/>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outlineLvl w:val="1"/>
      </w:pPr>
      <w:r/>
      <w:bookmarkStart w:id="59" w:name="Par583"/>
      <w:r/>
      <w:bookmarkEnd w:id="59"/>
      <w:r>
        <w:rPr>
          <w:rFonts w:ascii="Arial" w:hAnsi="Arial" w:eastAsia="Arial" w:cs="Arial"/>
          <w:b w:val="0"/>
          <w:i w:val="0"/>
          <w:strike w:val="0"/>
          <w:sz w:val="20"/>
        </w:rPr>
        <w:t xml:space="preserve">1. Квалификационные требования для замещения высших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1.1. Квалификационные требования к уровню профессионального образования: высшее профессиональное образование.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1.2. Квалификационные требования к стажу работы: работа по специальности не менее 5 лет или стаж муниципальной службы на должностях не ниже главной группы (государственной службы не ниже старшей группы)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1.3. Квалификационные требования к профессиональным знаниям: знание </w:t>
      </w:r>
      <w:hyperlink r:id="rId44" w:tooltip="consultantplus://offline/ref=044D5261D4C39E8210906B11CAD285B1FEA6E5D78D13629B504FF9zDBD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w:t>
      </w:r>
      <w:r>
        <w:rPr>
          <w:rFonts w:ascii="Arial" w:hAnsi="Arial" w:eastAsia="Arial" w:cs="Arial"/>
          <w:b w:val="0"/>
          <w:i w:val="0"/>
          <w:strike w:val="0"/>
          <w:sz w:val="20"/>
        </w:rPr>
        <w:t xml:space="preserve">ерации, федеральных законов, указов и распоряжений Президента Российской Федерации, постановлений и распоряжений Правительства Российской Федерации, законодательства Кемеровской области, муниципальных правовых актов органов местного самоуправления Анжеро-С</w:t>
      </w:r>
      <w:r>
        <w:rPr>
          <w:rFonts w:ascii="Arial" w:hAnsi="Arial" w:eastAsia="Arial" w:cs="Arial"/>
          <w:b w:val="0"/>
          <w:i w:val="0"/>
          <w:strike w:val="0"/>
          <w:sz w:val="20"/>
        </w:rPr>
        <w:t xml:space="preserve">удженского городского округа применительно к исполнению своих должностных обязанностей, прав и ответственности; знание основ экономики и организации труда, передового опыта в установленной сфере деятельности; знание вопросов прохождения муниципальной служб</w:t>
      </w:r>
      <w:r>
        <w:rPr>
          <w:rFonts w:ascii="Arial" w:hAnsi="Arial" w:eastAsia="Arial" w:cs="Arial"/>
          <w:b w:val="0"/>
          <w:i w:val="0"/>
          <w:strike w:val="0"/>
          <w:sz w:val="20"/>
        </w:rPr>
        <w:t xml:space="preserve">ы, методов управления коллективом,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основ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1.4. Квалификационные требования к профессиональным навыкам: владение навыками руководящей работы, оперативного принятия и реализации управленческих решений, квалифицированного планирования работы; владение навыками контроля, анализа и прогнозиров</w:t>
      </w:r>
      <w:r>
        <w:rPr>
          <w:rFonts w:ascii="Arial" w:hAnsi="Arial" w:eastAsia="Arial" w:cs="Arial"/>
          <w:b w:val="0"/>
          <w:i w:val="0"/>
          <w:strike w:val="0"/>
          <w:sz w:val="20"/>
        </w:rPr>
        <w:t xml:space="preserve">ания последствий принимаемых решений, осуществления экспертизы проектов правовых актов и документов; владение навыками организации работы по взаимодействию с органами государственной власти, органами местного самоуправления, организациями; владение приемам</w:t>
      </w:r>
      <w:r>
        <w:rPr>
          <w:rFonts w:ascii="Arial" w:hAnsi="Arial" w:eastAsia="Arial" w:cs="Arial"/>
          <w:b w:val="0"/>
          <w:i w:val="0"/>
          <w:strike w:val="0"/>
          <w:sz w:val="20"/>
        </w:rPr>
        <w:t xml:space="preserve">и межличностных отношений и мотивации подчиненных, стимулирования достижения результатов, подбора и расстановки кадров, ведения деловых переговоров, публичного выступления; умение использовать современные средства, методы и технологии работы с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outlineLvl w:val="1"/>
      </w:pPr>
      <w:r/>
      <w:bookmarkStart w:id="60" w:name="Par590"/>
      <w:r/>
      <w:bookmarkEnd w:id="60"/>
      <w:r>
        <w:rPr>
          <w:rFonts w:ascii="Arial" w:hAnsi="Arial" w:eastAsia="Arial" w:cs="Arial"/>
          <w:b w:val="0"/>
          <w:i w:val="0"/>
          <w:strike w:val="0"/>
          <w:sz w:val="20"/>
        </w:rPr>
        <w:t xml:space="preserve">2. Квалификационные требования для замещения главных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2.2. Квалификационные требования к стажу работы: работа по специальности не менее 5 лет или стаж муниципальной службы на должностях не ниже ведущей группы (государственной службы не ниже старшей группы)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2.3. Квалификационные требования к профессиональным знаниям: знание </w:t>
      </w:r>
      <w:hyperlink r:id="rId45" w:tooltip="consultantplus://offline/ref=044D5261D4C39E8210906B11CAD285B1FEA6E5D78D13629B504FF9zDBD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Федерации, законодательства Российской Федерации и Кемеровской области, муниципальных правовых акто</w:t>
      </w:r>
      <w:r>
        <w:rPr>
          <w:rFonts w:ascii="Arial" w:hAnsi="Arial" w:eastAsia="Arial" w:cs="Arial"/>
          <w:b w:val="0"/>
          <w:i w:val="0"/>
          <w:strike w:val="0"/>
          <w:sz w:val="20"/>
        </w:rPr>
        <w:t xml:space="preserve">в органов местного самоуправления города применительно к исполнению своих должностных обязанностей; знание основ экономики и организации труда; знание форм и методов работы со средствами массовой информации; знание вопросов прохождения муниципальной службы</w:t>
      </w:r>
      <w:r>
        <w:rPr>
          <w:rFonts w:ascii="Arial" w:hAnsi="Arial" w:eastAsia="Arial" w:cs="Arial"/>
          <w:b w:val="0"/>
          <w:i w:val="0"/>
          <w:strike w:val="0"/>
          <w:sz w:val="20"/>
        </w:rPr>
        <w:t xml:space="preserve">, методов управления коллективом,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2.4. Квалификационные требования к профессиональным навыкам: владение навыками оперативно</w:t>
      </w:r>
      <w:r>
        <w:rPr>
          <w:rFonts w:ascii="Arial" w:hAnsi="Arial" w:eastAsia="Arial" w:cs="Arial"/>
          <w:b w:val="0"/>
          <w:i w:val="0"/>
          <w:strike w:val="0"/>
          <w:sz w:val="20"/>
        </w:rPr>
        <w:t xml:space="preserve">го принятия и реализации управленческих решений, квалифицированного планирования работы, осуществления экспертизы проектов правовых актов и документов; владение навыками организации работы по взаимодействию с органами государственной власти, органами местн</w:t>
      </w:r>
      <w:r>
        <w:rPr>
          <w:rFonts w:ascii="Arial" w:hAnsi="Arial" w:eastAsia="Arial" w:cs="Arial"/>
          <w:b w:val="0"/>
          <w:i w:val="0"/>
          <w:strike w:val="0"/>
          <w:sz w:val="20"/>
        </w:rPr>
        <w:t xml:space="preserve">ого самоуправления, организациями; владение приемами межличностных отношений и мотивации подчиненных; владение навыками ведения деловых переговоров, публичного выступления; умение использовать современные средства, методы и технологии работы с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outlineLvl w:val="1"/>
      </w:pPr>
      <w:r/>
      <w:bookmarkStart w:id="61" w:name="Par597"/>
      <w:r/>
      <w:bookmarkEnd w:id="61"/>
      <w:r>
        <w:rPr>
          <w:rFonts w:ascii="Arial" w:hAnsi="Arial" w:eastAsia="Arial" w:cs="Arial"/>
          <w:b w:val="0"/>
          <w:i w:val="0"/>
          <w:strike w:val="0"/>
          <w:sz w:val="20"/>
        </w:rPr>
        <w:t xml:space="preserve">3. Квалификационные требования для замещения ведущих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3.2. Квалификационные требования к стажу работы: работа по специальности не менее 3 лет или стаж муниципальной службы на должностях не ниже старшей группы (государственной службы на должностях младшей группы) не менее 2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3.3. Квалификационные требования к профессиональным знаниям: знание </w:t>
      </w:r>
      <w:hyperlink r:id="rId46" w:tooltip="consultantplus://offline/ref=044D5261D4C39E8210906B11CAD285B1FEA6E5D78D13629B504FF9zDBD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w:t>
      </w:r>
      <w:r>
        <w:rPr>
          <w:rFonts w:ascii="Arial" w:hAnsi="Arial" w:eastAsia="Arial" w:cs="Arial"/>
          <w:b w:val="0"/>
          <w:i w:val="0"/>
          <w:strike w:val="0"/>
          <w:sz w:val="20"/>
        </w:rPr>
        <w:t xml:space="preserve">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основ экономики и организации труда; знание вопросов </w:t>
      </w:r>
      <w:r>
        <w:rPr>
          <w:rFonts w:ascii="Arial" w:hAnsi="Arial" w:eastAsia="Arial" w:cs="Arial"/>
          <w:b w:val="0"/>
          <w:i w:val="0"/>
          <w:strike w:val="0"/>
          <w:sz w:val="20"/>
        </w:rP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3.4. Квалификационные требования к </w:t>
      </w:r>
      <w:r>
        <w:rPr>
          <w:rFonts w:ascii="Arial" w:hAnsi="Arial" w:eastAsia="Arial" w:cs="Arial"/>
          <w:b w:val="0"/>
          <w:i w:val="0"/>
          <w:strike w:val="0"/>
          <w:sz w:val="20"/>
        </w:rPr>
        <w:t xml:space="preserve">профессиональным навыкам: владение навыками реализации управленческих решений, квалифицированного планирования работы, осуществления экспертизы проектов правовых актов и документов; владение навыками работы по взаимодействию со структурными подразделениями</w:t>
      </w:r>
      <w:r>
        <w:rPr>
          <w:rFonts w:ascii="Arial" w:hAnsi="Arial" w:eastAsia="Arial" w:cs="Arial"/>
          <w:b w:val="0"/>
          <w:i w:val="0"/>
          <w:strike w:val="0"/>
          <w:sz w:val="20"/>
        </w:rPr>
        <w:t xml:space="preserve"> администрации города, а также организациями и гражданами; владение приемами межличностных отношений и мотивации подчиненных; владение навыками ведения деловых переговоров; умение использовать современные средства, методы и технологии работы с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outlineLvl w:val="1"/>
      </w:pPr>
      <w:r/>
      <w:bookmarkStart w:id="62" w:name="Par604"/>
      <w:r/>
      <w:bookmarkEnd w:id="62"/>
      <w:r>
        <w:rPr>
          <w:rFonts w:ascii="Arial" w:hAnsi="Arial" w:eastAsia="Arial" w:cs="Arial"/>
          <w:b w:val="0"/>
          <w:i w:val="0"/>
          <w:strike w:val="0"/>
          <w:sz w:val="20"/>
        </w:rPr>
        <w:t xml:space="preserve">4. Квалификационные требования для замещения старших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4.1. Квалификационные требования к уровню профессионального образования: высшее профессиональное образование либо среднее профессиональное образование по специальности, соответствующей должностным обязанностям муниципального служащего.</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4.2. Для старших должностей муниципальной службы - требование к стажу не предъявля</w:t>
      </w:r>
      <w:r>
        <w:rPr>
          <w:rFonts w:ascii="Arial" w:hAnsi="Arial" w:eastAsia="Arial" w:cs="Arial"/>
          <w:b w:val="0"/>
          <w:i w:val="0"/>
          <w:strike w:val="0"/>
          <w:sz w:val="20"/>
        </w:rPr>
        <w:t xml:space="preserve">ется в случае наличия высшего профессионального образования, соответствующего направлению деятельности органа местного самоуправления или его структурного подразделения, в иных случаях требуется наличие стажа (опыта) работы по специальности не менее 3 лет.</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4.3. Квалификационные требования к профессиональным знаниям: знание </w:t>
      </w:r>
      <w:hyperlink r:id="rId47" w:tooltip="consultantplus://offline/ref=044D5261D4C39E8210906B11CAD285B1FEA6E5D78D13629B504FF9zDBD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вопросов </w:t>
      </w:r>
      <w:r>
        <w:rPr>
          <w:rFonts w:ascii="Arial" w:hAnsi="Arial" w:eastAsia="Arial" w:cs="Arial"/>
          <w:b w:val="0"/>
          <w:i w:val="0"/>
          <w:strike w:val="0"/>
          <w:sz w:val="20"/>
        </w:rP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4.4</w:t>
      </w:r>
      <w:r>
        <w:rPr>
          <w:rFonts w:ascii="Arial" w:hAnsi="Arial" w:eastAsia="Arial" w:cs="Arial"/>
          <w:b w:val="0"/>
          <w:i w:val="0"/>
          <w:strike w:val="0"/>
          <w:sz w:val="20"/>
        </w:rPr>
        <w:t xml:space="preserve">. Квалификационные требования к профессиональным навыкам: владение навыками оперативного и качественного выполнения поставленных задач, эффективного планирования служебной деятельности, осуществления подготовки проектов правовых актов и документов; владени</w:t>
      </w:r>
      <w:r>
        <w:rPr>
          <w:rFonts w:ascii="Arial" w:hAnsi="Arial" w:eastAsia="Arial" w:cs="Arial"/>
          <w:b w:val="0"/>
          <w:i w:val="0"/>
          <w:strike w:val="0"/>
          <w:sz w:val="20"/>
        </w:rPr>
        <w:t xml:space="preserve">е навыками работы по взаимодействию со структурными подразделениями администрации города, а также организациями и гражданами; владение навыками ведения деловых переговоров; умение использовать современные средства, методы и технологии работы с информацией.</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outlineLvl w:val="1"/>
      </w:pPr>
      <w:r/>
      <w:bookmarkStart w:id="63" w:name="Par611"/>
      <w:r/>
      <w:bookmarkEnd w:id="63"/>
      <w:r>
        <w:rPr>
          <w:rFonts w:ascii="Arial" w:hAnsi="Arial" w:eastAsia="Arial" w:cs="Arial"/>
          <w:b w:val="0"/>
          <w:i w:val="0"/>
          <w:strike w:val="0"/>
          <w:sz w:val="20"/>
        </w:rPr>
        <w:t xml:space="preserve">5. Квалификационные требования для замещения младших должностей муниципальной службы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5.1. Квалификационные требования к профессиональному образованию: среднее профессиональное образование.</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5.2. Квалификационные требования к стажу работы: без предъявлений к требованию к стажу работы.</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5.3. Квалификационные требования к профессиональным знаниям: знание </w:t>
      </w:r>
      <w:hyperlink r:id="rId48" w:tooltip="consultantplus://offline/ref=044D5261D4C39E8210906B11CAD285B1FEA6E5D78D13629B504FF9zDBDK" w:history="1">
        <w:r>
          <w:rPr>
            <w:rFonts w:ascii="Arial" w:hAnsi="Arial" w:eastAsia="Arial" w:cs="Arial"/>
            <w:b w:val="0"/>
            <w:i w:val="0"/>
            <w:strike w:val="0"/>
            <w:color w:val="0000ff"/>
            <w:sz w:val="20"/>
          </w:rPr>
          <w:t xml:space="preserve">Конституции</w:t>
        </w:r>
      </w:hyperlink>
      <w:r>
        <w:rPr>
          <w:rFonts w:ascii="Arial" w:hAnsi="Arial" w:eastAsia="Arial" w:cs="Arial"/>
          <w:b w:val="0"/>
          <w:i w:val="0"/>
          <w:strike w:val="0"/>
          <w:sz w:val="20"/>
        </w:rPr>
        <w:t xml:space="preserve"> Российской Федерации, законодательства Российской Федерации и Кемеровской области, муниципальных правовых актов органов местного самоуправления города применительно к исполнению своих должностных обязанностей; знание вопросов </w:t>
      </w:r>
      <w:r>
        <w:rPr>
          <w:rFonts w:ascii="Arial" w:hAnsi="Arial" w:eastAsia="Arial" w:cs="Arial"/>
          <w:b w:val="0"/>
          <w:i w:val="0"/>
          <w:strike w:val="0"/>
          <w:sz w:val="20"/>
        </w:rPr>
        <w:t xml:space="preserve">прохождения муниципальной службы, основ этики и правил делового этикета, делового общения; знание правил внутреннего трудового распорядка, правил охраны труда и противопожарной безопасности, порядка работы со служебной информацией, правил делопроизводства.</w:t>
      </w:r>
      <w:r>
        <w:rPr>
          <w:rFonts w:ascii="Arial" w:hAnsi="Arial" w:eastAsia="Arial" w:cs="Arial"/>
          <w:b w:val="0"/>
          <w:i w:val="0"/>
          <w:strike w:val="0"/>
          <w:sz w:val="20"/>
        </w:rPr>
      </w:r>
    </w:p>
    <w:p>
      <w:pPr>
        <w:pStyle w:val="773"/>
        <w:ind w:left="0" w:firstLine="540"/>
        <w:jc w:val="both"/>
        <w:spacing w:before="0" w:after="0" w:line="240" w:lineRule="auto"/>
        <w:rPr>
          <w:rFonts w:ascii="Arial" w:hAnsi="Arial" w:eastAsia="Arial" w:cs="Arial"/>
          <w:b w:val="0"/>
          <w:i w:val="0"/>
          <w:strike w:val="0"/>
          <w:sz w:val="20"/>
        </w:rPr>
      </w:pPr>
      <w:r>
        <w:rPr>
          <w:rFonts w:ascii="Arial" w:hAnsi="Arial" w:eastAsia="Arial" w:cs="Arial"/>
          <w:b w:val="0"/>
          <w:i w:val="0"/>
          <w:strike w:val="0"/>
          <w:sz w:val="20"/>
        </w:rPr>
        <w:t xml:space="preserve">5.4. Квалификационные требования к профессиональным навыкам: владение н</w:t>
      </w:r>
      <w:r>
        <w:rPr>
          <w:rFonts w:ascii="Arial" w:hAnsi="Arial" w:eastAsia="Arial" w:cs="Arial"/>
          <w:b w:val="0"/>
          <w:i w:val="0"/>
          <w:strike w:val="0"/>
          <w:sz w:val="20"/>
        </w:rPr>
        <w:t xml:space="preserve">авыками оперативного и качественного выполнения поставленных задач, подготовки проектов документов; владение навыками работы по взаимодействию с организациями и гражданами; умение использовать современные средства, методы и технологии работы с информацией.</w:t>
      </w:r>
      <w:r>
        <w:rPr>
          <w:rFonts w:ascii="Arial" w:hAnsi="Arial" w:eastAsia="Arial" w:cs="Arial"/>
          <w:b w:val="0"/>
          <w:i w:val="0"/>
          <w:strike w:val="0"/>
          <w:sz w:val="20"/>
        </w:rPr>
      </w:r>
    </w:p>
    <w:sectPr>
      <w:headerReference w:type="default" r:id="rId8"/>
      <w:footerReference w:type="default" r:id="rId10"/>
      <w:footnotePr/>
      <w:endnotePr/>
      <w:type w:val="nextPage"/>
      <w:pgSz w:w="11906" w:h="16838" w:orient="portrait"/>
      <w:pgMar w:top="731" w:right="566" w:bottom="1083" w:left="1133" w:header="0" w:footer="0" w:gutter="0"/>
      <w:cols w:num="1" w:sep="0" w:space="720"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jc w:val="left"/>
      </w:pPr>
      <w:r>
        <w:separator/>
      </w:r>
      <w:r/>
    </w:p>
  </w:endnote>
  <w:endnote w:type="continuationSeparator" w:id="0">
    <w:p>
      <w:pPr>
        <w:jc w:val="left"/>
      </w:pPr>
      <w:r>
        <w: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font>
  <w:font w:name="Courier New">
    <w:panose1 w:val="02070309020205020404"/>
  </w:font>
  <w:font w:name="Arial">
    <w:panose1 w:val="020B0604020202020204"/>
  </w:font>
  <w:font w:name="Calibri">
    <w:panose1 w:val="020F050202020403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4"/>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jc w:val="left"/>
      <w:spacing w:before="0" w:after="0" w:line="240" w:lineRule="auto"/>
      <w:rPr>
        <w:sz w:val="1"/>
      </w:rPr>
    </w:pPr>
    <w:r>
      <w:rPr>
        <w:sz w:val="1"/>
      </w:rPr>
    </w:r>
    <w:r>
      <w:rPr>
        <w:sz w:val="1"/>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jc w:val="left"/>
      </w:pPr>
      <w:r>
        <w:separator/>
      </w:r>
      <w:r/>
    </w:p>
  </w:footnote>
  <w:footnote w:type="continuationSeparator" w:id="0">
    <w:p>
      <w:pPr>
        <w:jc w:val="left"/>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jc w:val="left"/>
      <w:spacing w:before="0" w:after="0" w:line="240" w:lineRule="auto"/>
      <w:rPr>
        <w:sz w:val="10"/>
      </w:rPr>
    </w:pPr>
    <w:r>
      <w:rPr>
        <w:sz w:val="10"/>
      </w:rPr>
      <w:t xml:space="preserve"> </w:t>
    </w:r>
    <w:r>
      <w:rPr>
        <w:sz w:val="10"/>
      </w:r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rPr>
    </w:rPrDefault>
    <w:pPrDefaul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10"/>
    <w:next w:val="10"/>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11"/>
    <w:link w:val="13"/>
    <w:uiPriority w:val="9"/>
    <w:rPr>
      <w:rFonts w:ascii="Arial" w:hAnsi="Arial" w:eastAsia="Arial" w:cs="Arial"/>
      <w:sz w:val="40"/>
      <w:szCs w:val="40"/>
    </w:rPr>
  </w:style>
  <w:style w:type="paragraph" w:styleId="15">
    <w:name w:val="Heading 2"/>
    <w:basedOn w:val="10"/>
    <w:next w:val="10"/>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11"/>
    <w:link w:val="15"/>
    <w:uiPriority w:val="9"/>
    <w:rPr>
      <w:rFonts w:ascii="Arial" w:hAnsi="Arial" w:eastAsia="Arial" w:cs="Arial"/>
      <w:sz w:val="34"/>
    </w:rPr>
  </w:style>
  <w:style w:type="paragraph" w:styleId="17">
    <w:name w:val="Heading 3"/>
    <w:basedOn w:val="10"/>
    <w:next w:val="10"/>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11"/>
    <w:link w:val="17"/>
    <w:uiPriority w:val="9"/>
    <w:rPr>
      <w:rFonts w:ascii="Arial" w:hAnsi="Arial" w:eastAsia="Arial" w:cs="Arial"/>
      <w:sz w:val="30"/>
      <w:szCs w:val="30"/>
    </w:rPr>
  </w:style>
  <w:style w:type="paragraph" w:styleId="19">
    <w:name w:val="Heading 4"/>
    <w:basedOn w:val="10"/>
    <w:next w:val="10"/>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11"/>
    <w:link w:val="19"/>
    <w:uiPriority w:val="9"/>
    <w:rPr>
      <w:rFonts w:ascii="Arial" w:hAnsi="Arial" w:eastAsia="Arial" w:cs="Arial"/>
      <w:b/>
      <w:bCs/>
      <w:sz w:val="26"/>
      <w:szCs w:val="26"/>
    </w:rPr>
  </w:style>
  <w:style w:type="paragraph" w:styleId="21">
    <w:name w:val="Heading 5"/>
    <w:basedOn w:val="10"/>
    <w:next w:val="10"/>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11"/>
    <w:link w:val="21"/>
    <w:uiPriority w:val="9"/>
    <w:rPr>
      <w:rFonts w:ascii="Arial" w:hAnsi="Arial" w:eastAsia="Arial" w:cs="Arial"/>
      <w:b/>
      <w:bCs/>
      <w:sz w:val="24"/>
      <w:szCs w:val="24"/>
    </w:rPr>
  </w:style>
  <w:style w:type="paragraph" w:styleId="23">
    <w:name w:val="Heading 6"/>
    <w:basedOn w:val="10"/>
    <w:next w:val="10"/>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11"/>
    <w:link w:val="23"/>
    <w:uiPriority w:val="9"/>
    <w:rPr>
      <w:rFonts w:ascii="Arial" w:hAnsi="Arial" w:eastAsia="Arial" w:cs="Arial"/>
      <w:b/>
      <w:bCs/>
      <w:sz w:val="22"/>
      <w:szCs w:val="22"/>
    </w:rPr>
  </w:style>
  <w:style w:type="paragraph" w:styleId="25">
    <w:name w:val="Heading 7"/>
    <w:basedOn w:val="10"/>
    <w:next w:val="10"/>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11"/>
    <w:link w:val="25"/>
    <w:uiPriority w:val="9"/>
    <w:rPr>
      <w:rFonts w:ascii="Arial" w:hAnsi="Arial" w:eastAsia="Arial" w:cs="Arial"/>
      <w:b/>
      <w:bCs/>
      <w:i/>
      <w:iCs/>
      <w:sz w:val="22"/>
      <w:szCs w:val="22"/>
    </w:rPr>
  </w:style>
  <w:style w:type="paragraph" w:styleId="27">
    <w:name w:val="Heading 8"/>
    <w:basedOn w:val="10"/>
    <w:next w:val="10"/>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11"/>
    <w:link w:val="27"/>
    <w:uiPriority w:val="9"/>
    <w:rPr>
      <w:rFonts w:ascii="Arial" w:hAnsi="Arial" w:eastAsia="Arial" w:cs="Arial"/>
      <w:i/>
      <w:iCs/>
      <w:sz w:val="22"/>
      <w:szCs w:val="22"/>
    </w:rPr>
  </w:style>
  <w:style w:type="paragraph" w:styleId="29">
    <w:name w:val="Heading 9"/>
    <w:basedOn w:val="10"/>
    <w:next w:val="10"/>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11"/>
    <w:link w:val="29"/>
    <w:uiPriority w:val="9"/>
    <w:rPr>
      <w:rFonts w:ascii="Arial" w:hAnsi="Arial" w:eastAsia="Arial" w:cs="Arial"/>
      <w:i/>
      <w:iCs/>
      <w:sz w:val="21"/>
      <w:szCs w:val="21"/>
    </w:rPr>
  </w:style>
  <w:style w:type="paragraph" w:styleId="31">
    <w:name w:val="List Paragraph"/>
    <w:basedOn w:val="10"/>
    <w:uiPriority w:val="34"/>
    <w:qFormat/>
    <w:pPr>
      <w:contextualSpacing/>
      <w:ind w:left="720"/>
    </w:pPr>
  </w:style>
  <w:style w:type="paragraph" w:styleId="33">
    <w:name w:val="No Spacing"/>
    <w:uiPriority w:val="1"/>
    <w:qFormat/>
    <w:pPr>
      <w:spacing w:before="0" w:after="0" w:line="240" w:lineRule="auto"/>
    </w:pPr>
  </w:style>
  <w:style w:type="paragraph" w:styleId="34">
    <w:name w:val="Title"/>
    <w:basedOn w:val="10"/>
    <w:next w:val="10"/>
    <w:link w:val="35"/>
    <w:uiPriority w:val="10"/>
    <w:qFormat/>
    <w:pPr>
      <w:contextualSpacing/>
      <w:spacing w:before="300" w:after="200"/>
    </w:pPr>
    <w:rPr>
      <w:sz w:val="48"/>
      <w:szCs w:val="48"/>
    </w:rPr>
  </w:style>
  <w:style w:type="character" w:styleId="35">
    <w:name w:val="Title Char"/>
    <w:basedOn w:val="11"/>
    <w:link w:val="34"/>
    <w:uiPriority w:val="10"/>
    <w:rPr>
      <w:sz w:val="48"/>
      <w:szCs w:val="48"/>
    </w:rPr>
  </w:style>
  <w:style w:type="paragraph" w:styleId="36">
    <w:name w:val="Subtitle"/>
    <w:basedOn w:val="10"/>
    <w:next w:val="10"/>
    <w:link w:val="37"/>
    <w:uiPriority w:val="11"/>
    <w:qFormat/>
    <w:pPr>
      <w:spacing w:before="200" w:after="200"/>
    </w:pPr>
    <w:rPr>
      <w:sz w:val="24"/>
      <w:szCs w:val="24"/>
    </w:rPr>
  </w:style>
  <w:style w:type="character" w:styleId="37">
    <w:name w:val="Subtitle Char"/>
    <w:basedOn w:val="11"/>
    <w:link w:val="36"/>
    <w:uiPriority w:val="11"/>
    <w:rPr>
      <w:sz w:val="24"/>
      <w:szCs w:val="24"/>
    </w:rPr>
  </w:style>
  <w:style w:type="paragraph" w:styleId="38">
    <w:name w:val="Quote"/>
    <w:basedOn w:val="10"/>
    <w:next w:val="10"/>
    <w:link w:val="39"/>
    <w:uiPriority w:val="29"/>
    <w:qFormat/>
    <w:pPr>
      <w:ind w:left="720" w:right="720"/>
    </w:pPr>
    <w:rPr>
      <w:i/>
    </w:rPr>
  </w:style>
  <w:style w:type="character" w:styleId="39">
    <w:name w:val="Quote Char"/>
    <w:link w:val="38"/>
    <w:uiPriority w:val="29"/>
    <w:rPr>
      <w:i/>
    </w:rPr>
  </w:style>
  <w:style w:type="paragraph" w:styleId="40">
    <w:name w:val="Intense Quote"/>
    <w:basedOn w:val="10"/>
    <w:next w:val="10"/>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paragraph" w:styleId="42">
    <w:name w:val="Header"/>
    <w:basedOn w:val="10"/>
    <w:link w:val="43"/>
    <w:uiPriority w:val="99"/>
    <w:unhideWhenUsed/>
    <w:pPr>
      <w:spacing w:after="0" w:line="240" w:lineRule="auto"/>
      <w:tabs>
        <w:tab w:val="center" w:pos="7143" w:leader="none"/>
        <w:tab w:val="right" w:pos="14287" w:leader="none"/>
      </w:tabs>
    </w:pPr>
  </w:style>
  <w:style w:type="character" w:styleId="43">
    <w:name w:val="Header Char"/>
    <w:basedOn w:val="11"/>
    <w:link w:val="42"/>
    <w:uiPriority w:val="99"/>
  </w:style>
  <w:style w:type="paragraph" w:styleId="44">
    <w:name w:val="Footer"/>
    <w:basedOn w:val="10"/>
    <w:link w:val="45"/>
    <w:uiPriority w:val="99"/>
    <w:unhideWhenUsed/>
    <w:pPr>
      <w:spacing w:after="0" w:line="240" w:lineRule="auto"/>
      <w:tabs>
        <w:tab w:val="center" w:pos="7143" w:leader="none"/>
        <w:tab w:val="right" w:pos="14287" w:leader="none"/>
      </w:tabs>
    </w:pPr>
  </w:style>
  <w:style w:type="character" w:styleId="45">
    <w:name w:val="Footer Char"/>
    <w:basedOn w:val="11"/>
    <w:link w:val="44"/>
    <w:uiPriority w:val="99"/>
  </w:style>
  <w:style w:type="paragraph" w:styleId="46">
    <w:name w:val="Caption"/>
    <w:basedOn w:val="10"/>
    <w:next w:val="10"/>
    <w:link w:val="47"/>
    <w:uiPriority w:val="35"/>
    <w:semiHidden/>
    <w:unhideWhenUsed/>
    <w:qFormat/>
    <w:pPr>
      <w:spacing w:line="276" w:lineRule="auto"/>
    </w:pPr>
    <w:rPr>
      <w:b/>
      <w:bCs/>
      <w:color w:val="4f81bd" w:themeColor="accent1"/>
      <w:sz w:val="18"/>
      <w:szCs w:val="18"/>
    </w:rPr>
  </w:style>
  <w:style w:type="character" w:styleId="47">
    <w:name w:val="Caption Char"/>
    <w:basedOn w:val="11"/>
    <w:link w:val="46"/>
    <w:uiPriority w:val="35"/>
    <w:rPr>
      <w:b/>
      <w:bCs/>
      <w:color w:val="4f81bd" w:themeColor="accent1"/>
      <w:sz w:val="18"/>
      <w:szCs w:val="18"/>
    </w:rPr>
  </w:style>
  <w:style w:type="table" w:styleId="48">
    <w:name w:val="Table Grid"/>
    <w:basedOn w:val="32"/>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32"/>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32"/>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32"/>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32"/>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32"/>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32"/>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3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32"/>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32"/>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32"/>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32"/>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3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32"/>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3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32"/>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32"/>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32"/>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32"/>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32"/>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32"/>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ae5f1" w:themeFill="accent1" w:themeFillTint="34"/>
      </w:tcPr>
    </w:tblStylePr>
    <w:tblStylePr w:type="band1Vert">
      <w:rPr>
        <w:rFonts w:ascii="Arial" w:hAnsi="Arial"/>
        <w:color w:val="404040"/>
        <w:sz w:val="22"/>
      </w:rPr>
      <w:tcPr>
        <w:shd w:val="clear" w:color="ffffff" w:themeColor="accent1" w:themeTint="34" w:fill="dae5f1"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32"/>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32"/>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32"/>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32"/>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32"/>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32"/>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32"/>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ce6f1" w:themeFill="accent1" w:themeFillTint="32"/>
      </w:tcPr>
    </w:tblStylePr>
    <w:tblStylePr w:type="band1Vert">
      <w:rPr>
        <w:rFonts w:ascii="Arial" w:hAnsi="Arial"/>
        <w:color w:val="404040"/>
        <w:sz w:val="22"/>
      </w:rPr>
      <w:tcPr>
        <w:shd w:val="clear" w:color="ffffff" w:themeColor="accent1" w:themeTint="32" w:fill="dce6f1"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32"/>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2dcdb" w:themeFill="accent2" w:themeFillTint="32"/>
      </w:tcPr>
    </w:tblStylePr>
    <w:tblStylePr w:type="band1Vert">
      <w:rPr>
        <w:rFonts w:ascii="Arial" w:hAnsi="Arial"/>
        <w:color w:val="404040"/>
        <w:sz w:val="22"/>
      </w:rPr>
      <w:tcPr>
        <w:shd w:val="clear" w:color="ffffff" w:themeColor="accent2" w:themeTint="32" w:fill="f2dcdb"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32"/>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af0dd" w:themeFill="accent3" w:themeFillTint="34"/>
      </w:tcPr>
    </w:tblStylePr>
    <w:tblStylePr w:type="band1Vert">
      <w:rPr>
        <w:rFonts w:ascii="Arial" w:hAnsi="Arial"/>
        <w:color w:val="404040"/>
        <w:sz w:val="22"/>
      </w:rPr>
      <w:tcPr>
        <w:shd w:val="clear" w:color="ffffff" w:themeColor="accent3" w:themeTint="34" w:fill="eaf0d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32"/>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e5dfec" w:themeFill="accent4" w:themeFillTint="34"/>
      </w:tcPr>
    </w:tblStylePr>
    <w:tblStylePr w:type="band1Vert">
      <w:rPr>
        <w:rFonts w:ascii="Arial" w:hAnsi="Arial"/>
        <w:color w:val="404040"/>
        <w:sz w:val="22"/>
      </w:rPr>
      <w:tcPr>
        <w:shd w:val="clear" w:color="ffffff" w:themeColor="accent4" w:themeTint="34" w:fill="e5dfec"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32"/>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aeef3" w:themeFill="accent5" w:themeFillTint="34"/>
      </w:tcPr>
    </w:tblStylePr>
    <w:tblStylePr w:type="band1Vert">
      <w:rPr>
        <w:rFonts w:ascii="Arial" w:hAnsi="Arial"/>
        <w:color w:val="404040"/>
        <w:sz w:val="22"/>
      </w:rPr>
      <w:tcPr>
        <w:shd w:val="clear" w:color="ffffff" w:themeColor="accent5" w:themeTint="34" w:fill="daeef3"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32"/>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fde9d8" w:themeFill="accent6" w:themeFillTint="34"/>
      </w:tcPr>
    </w:tblStylePr>
    <w:tblStylePr w:type="band1Vert">
      <w:rPr>
        <w:rFonts w:ascii="Arial" w:hAnsi="Arial"/>
        <w:color w:val="404040"/>
        <w:sz w:val="22"/>
      </w:rPr>
      <w:tcPr>
        <w:shd w:val="clear" w:color="ffffff" w:themeColor="accent6" w:themeTint="34" w:fill="fde9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blStylePr w:type="band1Horz">
      <w:tcPr>
        <w:shd w:val="clear" w:color="ffffff" w:themeColor="accent1" w:themeTint="75" w:fill="adc5e0" w:themeFill="accent1" w:themeFillTint="75"/>
      </w:tcPr>
    </w:tblStylePr>
    <w:tblStylePr w:type="band1Vert">
      <w:tcPr>
        <w:shd w:val="clear" w:color="ffffff" w:themeColor="accent1" w:themeTint="75" w:fill="adc5e0" w:themeFill="accent1" w:themeFillTint="75"/>
      </w:tcPr>
    </w:tblStylePr>
    <w:tblStylePr w:type="firstCol">
      <w:rPr>
        <w:rFonts w:ascii="Arial" w:hAnsi="Arial"/>
        <w:b/>
        <w:color w:val="ffffff"/>
        <w:sz w:val="22"/>
      </w:rPr>
      <w:tcPr>
        <w:shd w:val="clear" w:color="ffffff" w:themeColor="accent1" w:fill="4f81bd" w:themeFill="accent1"/>
      </w:tcPr>
    </w:tblStylePr>
    <w:tblStylePr w:type="firstRow">
      <w:rPr>
        <w:rFonts w:ascii="Arial" w:hAnsi="Arial"/>
        <w:b/>
        <w:color w:val="ffffff"/>
        <w:sz w:val="22"/>
      </w:rPr>
      <w:tcPr>
        <w:shd w:val="clear" w:color="ffffff" w:themeColor="accent1" w:fill="4f81bd" w:themeFill="accent1"/>
      </w:tcPr>
    </w:tblStylePr>
    <w:tblStylePr w:type="lastCol">
      <w:rPr>
        <w:rFonts w:ascii="Arial" w:hAnsi="Arial"/>
        <w:b/>
        <w:color w:val="ffffff"/>
        <w:sz w:val="22"/>
      </w:rPr>
      <w:tcPr>
        <w:shd w:val="clear" w:color="ffffff" w:themeColor="accent1" w:fill="4f81bd" w:themeFill="accent1"/>
      </w:tcPr>
    </w:tblStylePr>
    <w:tblStylePr w:type="lastRow">
      <w:rPr>
        <w:rFonts w:ascii="Arial" w:hAnsi="Arial"/>
        <w:b/>
        <w:color w:val="ffffff"/>
        <w:sz w:val="22"/>
      </w:rPr>
      <w:tcPr>
        <w:shd w:val="clear" w:color="ffffff" w:themeColor="accent1" w:fill="4f81bd" w:themeFill="accent1"/>
        <w:tcBorders>
          <w:top w:val="single" w:color="000000" w:themeColor="light1" w:sz="4" w:space="0"/>
        </w:tcBorders>
      </w:tcPr>
    </w:tblStylePr>
  </w:style>
  <w:style w:type="table" w:styleId="85">
    <w:name w:val="Grid Table 5 Dark - Accent 2"/>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blStylePr w:type="band1Horz">
      <w:tcPr>
        <w:shd w:val="clear" w:color="ffffff" w:themeColor="accent2" w:themeTint="75" w:fill="e1adac" w:themeFill="accent2" w:themeFillTint="75"/>
      </w:tcPr>
    </w:tblStylePr>
    <w:tblStylePr w:type="band1Vert">
      <w:tcPr>
        <w:shd w:val="clear" w:color="ffffff" w:themeColor="accent2" w:themeTint="75" w:fill="e1adac" w:themeFill="accent2" w:themeFillTint="75"/>
      </w:tcPr>
    </w:tblStylePr>
    <w:tblStylePr w:type="firstCol">
      <w:rPr>
        <w:rFonts w:ascii="Arial" w:hAnsi="Arial"/>
        <w:b/>
        <w:color w:val="ffffff"/>
        <w:sz w:val="22"/>
      </w:rPr>
      <w:tcPr>
        <w:shd w:val="clear" w:color="ffffff" w:themeColor="accent2" w:fill="c0504d" w:themeFill="accent2"/>
      </w:tcPr>
    </w:tblStylePr>
    <w:tblStylePr w:type="firstRow">
      <w:rPr>
        <w:rFonts w:ascii="Arial" w:hAnsi="Arial"/>
        <w:b/>
        <w:color w:val="ffffff"/>
        <w:sz w:val="22"/>
      </w:rPr>
      <w:tcPr>
        <w:shd w:val="clear" w:color="ffffff" w:themeColor="accent2" w:fill="c0504d" w:themeFill="accent2"/>
      </w:tcPr>
    </w:tblStylePr>
    <w:tblStylePr w:type="lastCol">
      <w:rPr>
        <w:rFonts w:ascii="Arial" w:hAnsi="Arial"/>
        <w:b/>
        <w:color w:val="ffffff"/>
        <w:sz w:val="22"/>
      </w:rPr>
      <w:tcPr>
        <w:shd w:val="clear" w:color="ffffff" w:themeColor="accent2" w:fill="c0504d" w:themeFill="accent2"/>
      </w:tcPr>
    </w:tblStylePr>
    <w:tblStylePr w:type="lastRow">
      <w:rPr>
        <w:rFonts w:ascii="Arial" w:hAnsi="Arial"/>
        <w:b/>
        <w:color w:val="ffffff"/>
        <w:sz w:val="22"/>
      </w:rPr>
      <w:tcPr>
        <w:shd w:val="clear" w:color="ffffff" w:themeColor="accent2" w:fill="c0504d" w:themeFill="accent2"/>
        <w:tcBorders>
          <w:top w:val="single" w:color="000000" w:themeColor="light1" w:sz="4" w:space="0"/>
        </w:tcBorders>
      </w:tcPr>
    </w:tblStylePr>
  </w:style>
  <w:style w:type="table" w:styleId="86">
    <w:name w:val="Grid Table 5 Dark - Accent 3"/>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blStylePr w:type="band1Horz">
      <w:tcPr>
        <w:shd w:val="clear" w:color="ffffff" w:themeColor="accent3" w:themeTint="75" w:fill="d1dfb2" w:themeFill="accent3" w:themeFillTint="75"/>
      </w:tcPr>
    </w:tblStylePr>
    <w:tblStylePr w:type="band1Vert">
      <w:tcPr>
        <w:shd w:val="clear" w:color="ffffff" w:themeColor="accent3" w:themeTint="75" w:fill="d1dfb2" w:themeFill="accent3" w:themeFillTint="75"/>
      </w:tcPr>
    </w:tblStylePr>
    <w:tblStylePr w:type="firstCol">
      <w:rPr>
        <w:rFonts w:ascii="Arial" w:hAnsi="Arial"/>
        <w:b/>
        <w:color w:val="ffffff"/>
        <w:sz w:val="22"/>
      </w:rPr>
      <w:tcPr>
        <w:shd w:val="clear" w:color="ffffff" w:themeColor="accent3" w:fill="9bbb59" w:themeFill="accent3"/>
      </w:tcPr>
    </w:tblStylePr>
    <w:tblStylePr w:type="firstRow">
      <w:rPr>
        <w:rFonts w:ascii="Arial" w:hAnsi="Arial"/>
        <w:b/>
        <w:color w:val="ffffff"/>
        <w:sz w:val="22"/>
      </w:rPr>
      <w:tcPr>
        <w:shd w:val="clear" w:color="ffffff" w:themeColor="accent3" w:fill="9bbb59" w:themeFill="accent3"/>
      </w:tcPr>
    </w:tblStylePr>
    <w:tblStylePr w:type="lastCol">
      <w:rPr>
        <w:rFonts w:ascii="Arial" w:hAnsi="Arial"/>
        <w:b/>
        <w:color w:val="ffffff"/>
        <w:sz w:val="22"/>
      </w:rPr>
      <w:tcPr>
        <w:shd w:val="clear" w:color="ffffff" w:themeColor="accent3" w:fill="9bbb59" w:themeFill="accent3"/>
      </w:tcPr>
    </w:tblStylePr>
    <w:tblStylePr w:type="lastRow">
      <w:rPr>
        <w:rFonts w:ascii="Arial" w:hAnsi="Arial"/>
        <w:b/>
        <w:color w:val="ffffff"/>
        <w:sz w:val="22"/>
      </w:rPr>
      <w:tcPr>
        <w:shd w:val="clear" w:color="ffffff" w:themeColor="accent3" w:fill="9bbb59" w:themeFill="accent3"/>
        <w:tcBorders>
          <w:top w:val="single" w:color="000000" w:themeColor="light1" w:sz="4" w:space="0"/>
        </w:tcBorders>
      </w:tcPr>
    </w:tblStylePr>
  </w:style>
  <w:style w:type="table" w:styleId="87">
    <w:name w:val="Grid Table 5 Dark- Accent 4"/>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blStylePr w:type="band1Horz">
      <w:tcPr>
        <w:shd w:val="clear" w:color="ffffff" w:themeColor="accent4" w:themeTint="75" w:fill="c4b7d4" w:themeFill="accent4" w:themeFillTint="75"/>
      </w:tcPr>
    </w:tblStylePr>
    <w:tblStylePr w:type="band1Vert">
      <w:tcPr>
        <w:shd w:val="clear" w:color="ffffff" w:themeColor="accent4" w:themeTint="75" w:fill="c4b7d4" w:themeFill="accent4" w:themeFillTint="75"/>
      </w:tcPr>
    </w:tblStylePr>
    <w:tblStylePr w:type="firstCol">
      <w:rPr>
        <w:rFonts w:ascii="Arial" w:hAnsi="Arial"/>
        <w:b/>
        <w:color w:val="ffffff"/>
        <w:sz w:val="22"/>
      </w:rPr>
      <w:tcPr>
        <w:shd w:val="clear" w:color="ffffff" w:themeColor="accent4" w:fill="8064a2" w:themeFill="accent4"/>
      </w:tcPr>
    </w:tblStylePr>
    <w:tblStylePr w:type="firstRow">
      <w:rPr>
        <w:rFonts w:ascii="Arial" w:hAnsi="Arial"/>
        <w:b/>
        <w:color w:val="ffffff"/>
        <w:sz w:val="22"/>
      </w:rPr>
      <w:tcPr>
        <w:shd w:val="clear" w:color="ffffff" w:themeColor="accent4" w:fill="8064a2" w:themeFill="accent4"/>
      </w:tcPr>
    </w:tblStylePr>
    <w:tblStylePr w:type="lastCol">
      <w:rPr>
        <w:rFonts w:ascii="Arial" w:hAnsi="Arial"/>
        <w:b/>
        <w:color w:val="ffffff"/>
        <w:sz w:val="22"/>
      </w:rPr>
      <w:tcPr>
        <w:shd w:val="clear" w:color="ffffff" w:themeColor="accent4" w:fill="8064a2" w:themeFill="accent4"/>
      </w:tcPr>
    </w:tblStylePr>
    <w:tblStylePr w:type="lastRow">
      <w:rPr>
        <w:rFonts w:ascii="Arial" w:hAnsi="Arial"/>
        <w:b/>
        <w:color w:val="ffffff"/>
        <w:sz w:val="22"/>
      </w:rPr>
      <w:tcPr>
        <w:shd w:val="clear" w:color="ffffff" w:themeColor="accent4" w:fill="8064a2" w:themeFill="accent4"/>
        <w:tcBorders>
          <w:top w:val="single" w:color="000000" w:themeColor="light1" w:sz="4" w:space="0"/>
        </w:tcBorders>
      </w:tcPr>
    </w:tblStylePr>
  </w:style>
  <w:style w:type="table" w:styleId="88">
    <w:name w:val="Grid Table 5 Dark - Accent 5"/>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blStylePr w:type="band1Horz">
      <w:tcPr>
        <w:shd w:val="clear" w:color="ffffff" w:themeColor="accent5" w:themeTint="75" w:fill="abd9e4" w:themeFill="accent5" w:themeFillTint="75"/>
      </w:tcPr>
    </w:tblStylePr>
    <w:tblStylePr w:type="band1Vert">
      <w:tcPr>
        <w:shd w:val="clear" w:color="ffffff" w:themeColor="accent5" w:themeTint="75" w:fill="abd9e4" w:themeFill="accent5" w:themeFillTint="75"/>
      </w:tcPr>
    </w:tblStylePr>
    <w:tblStylePr w:type="firstCol">
      <w:rPr>
        <w:rFonts w:ascii="Arial" w:hAnsi="Arial"/>
        <w:b/>
        <w:color w:val="ffffff"/>
        <w:sz w:val="22"/>
      </w:rPr>
      <w:tcPr>
        <w:shd w:val="clear" w:color="ffffff" w:themeColor="accent5" w:fill="4bacc6" w:themeFill="accent5"/>
      </w:tcPr>
    </w:tblStylePr>
    <w:tblStylePr w:type="firstRow">
      <w:rPr>
        <w:rFonts w:ascii="Arial" w:hAnsi="Arial"/>
        <w:b/>
        <w:color w:val="ffffff"/>
        <w:sz w:val="22"/>
      </w:rPr>
      <w:tcPr>
        <w:shd w:val="clear" w:color="ffffff" w:themeColor="accent5" w:fill="4bacc6" w:themeFill="accent5"/>
      </w:tcPr>
    </w:tblStylePr>
    <w:tblStylePr w:type="lastCol">
      <w:rPr>
        <w:rFonts w:ascii="Arial" w:hAnsi="Arial"/>
        <w:b/>
        <w:color w:val="ffffff"/>
        <w:sz w:val="22"/>
      </w:rPr>
      <w:tcPr>
        <w:shd w:val="clear" w:color="ffffff" w:themeColor="accent5" w:fill="4bacc6" w:themeFill="accent5"/>
      </w:tcPr>
    </w:tblStylePr>
    <w:tblStylePr w:type="lastRow">
      <w:rPr>
        <w:rFonts w:ascii="Arial" w:hAnsi="Arial"/>
        <w:b/>
        <w:color w:val="ffffff"/>
        <w:sz w:val="22"/>
      </w:rPr>
      <w:tcPr>
        <w:shd w:val="clear" w:color="ffffff" w:themeColor="accent5" w:fill="4bacc6" w:themeFill="accent5"/>
        <w:tcBorders>
          <w:top w:val="single" w:color="000000" w:themeColor="light1" w:sz="4" w:space="0"/>
        </w:tcBorders>
      </w:tcPr>
    </w:tblStylePr>
  </w:style>
  <w:style w:type="table" w:styleId="89">
    <w:name w:val="Grid Table 5 Dark - Accent 6"/>
    <w:basedOn w:val="32"/>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blStylePr w:type="band1Horz">
      <w:tcPr>
        <w:shd w:val="clear" w:color="ffffff" w:themeColor="accent6" w:themeTint="75" w:fill="fbcda8" w:themeFill="accent6" w:themeFillTint="75"/>
      </w:tcPr>
    </w:tblStylePr>
    <w:tblStylePr w:type="band1Vert">
      <w:tcPr>
        <w:shd w:val="clear" w:color="ffffff" w:themeColor="accent6" w:themeTint="75" w:fill="fbcda8" w:themeFill="accent6" w:themeFillTint="75"/>
      </w:tcPr>
    </w:tblStylePr>
    <w:tblStylePr w:type="firstCol">
      <w:rPr>
        <w:rFonts w:ascii="Arial" w:hAnsi="Arial"/>
        <w:b/>
        <w:color w:val="ffffff"/>
        <w:sz w:val="22"/>
      </w:rPr>
      <w:tcPr>
        <w:shd w:val="clear" w:color="ffffff" w:themeColor="accent6" w:fill="f79646" w:themeFill="accent6"/>
      </w:tcPr>
    </w:tblStylePr>
    <w:tblStylePr w:type="firstRow">
      <w:rPr>
        <w:rFonts w:ascii="Arial" w:hAnsi="Arial"/>
        <w:b/>
        <w:color w:val="ffffff"/>
        <w:sz w:val="22"/>
      </w:rPr>
      <w:tcPr>
        <w:shd w:val="clear" w:color="ffffff" w:themeColor="accent6" w:fill="f79646" w:themeFill="accent6"/>
      </w:tcPr>
    </w:tblStylePr>
    <w:tblStylePr w:type="lastCol">
      <w:rPr>
        <w:rFonts w:ascii="Arial" w:hAnsi="Arial"/>
        <w:b/>
        <w:color w:val="ffffff"/>
        <w:sz w:val="22"/>
      </w:rPr>
      <w:tcPr>
        <w:shd w:val="clear" w:color="ffffff" w:themeColor="accent6" w:fill="f79646" w:themeFill="accent6"/>
      </w:tcPr>
    </w:tblStylePr>
    <w:tblStylePr w:type="lastRow">
      <w:rPr>
        <w:rFonts w:ascii="Arial" w:hAnsi="Arial"/>
        <w:b/>
        <w:color w:val="ffffff"/>
        <w:sz w:val="22"/>
      </w:rPr>
      <w:tcPr>
        <w:shd w:val="clear" w:color="ffffff" w:themeColor="accent6" w:fill="f79646" w:themeFill="accent6"/>
        <w:tcBorders>
          <w:top w:val="single" w:color="000000" w:themeColor="light1" w:sz="4" w:space="0"/>
        </w:tcBorders>
      </w:tcPr>
    </w:tblStylePr>
  </w:style>
  <w:style w:type="table" w:styleId="90">
    <w:name w:val="Grid Table 6 Colorful"/>
    <w:basedOn w:val="32"/>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32"/>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404040" w:themeColor="accent1" w:themeTint="80" w:themeShade="95"/>
        <w:sz w:val="22"/>
      </w:rPr>
    </w:tblStylePr>
    <w:tblStylePr w:type="firstCol">
      <w:rPr>
        <w:b/>
        <w:color w:val="3e70a3" w:themeColor="accent1" w:themeTint="80" w:themeShade="95"/>
      </w:rPr>
    </w:tblStylePr>
    <w:tblStylePr w:type="firstRow">
      <w:rPr>
        <w:b/>
        <w:color w:val="3e70a3" w:themeColor="accent1" w:themeTint="80" w:themeShade="95"/>
      </w:rPr>
      <w:tcPr>
        <w:tcBorders>
          <w:bottom w:val="single" w:color="000000" w:themeColor="accent1" w:themeTint="80" w:sz="12" w:space="0"/>
        </w:tcBorders>
      </w:tcPr>
    </w:tblStylePr>
    <w:tblStylePr w:type="lastCol">
      <w:rPr>
        <w:b/>
        <w:color w:val="3e70a3" w:themeColor="accent1" w:themeTint="80" w:themeShade="95"/>
      </w:rPr>
    </w:tblStylePr>
    <w:tblStylePr w:type="lastRow">
      <w:rPr>
        <w:b/>
        <w:color w:val="3e70a3"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3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12" w:space="0"/>
        </w:tcBorders>
      </w:tcPr>
    </w:tblStylePr>
    <w:tblStylePr w:type="lastCol">
      <w:rPr>
        <w:b/>
        <w:color w:val="9c3a37" w:themeColor="accent2" w:themeTint="97" w:themeShade="95"/>
      </w:rPr>
    </w:tblStylePr>
    <w:tblStylePr w:type="lastRow">
      <w:rPr>
        <w:b/>
        <w:color w:val="9c3a37"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32"/>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404040" w:themeColor="accent3" w:themeTint="FE" w:themeShade="95"/>
        <w:sz w:val="22"/>
      </w:rPr>
    </w:tblStylePr>
    <w:tblStylePr w:type="firstCol">
      <w:rPr>
        <w:b/>
        <w:color w:val="5c702f" w:themeColor="accent3" w:themeTint="FE" w:themeShade="95"/>
      </w:rPr>
    </w:tblStylePr>
    <w:tblStylePr w:type="firstRow">
      <w:rPr>
        <w:b/>
        <w:color w:val="5c702f" w:themeColor="accent3" w:themeTint="FE" w:themeShade="95"/>
      </w:rPr>
      <w:tcPr>
        <w:tcBorders>
          <w:bottom w:val="single" w:color="000000" w:themeColor="accent3" w:themeTint="FE" w:sz="12" w:space="0"/>
        </w:tcBorders>
      </w:tcPr>
    </w:tblStylePr>
    <w:tblStylePr w:type="lastCol">
      <w:rPr>
        <w:b/>
        <w:color w:val="5c702f" w:themeColor="accent3" w:themeTint="FE" w:themeShade="95"/>
      </w:rPr>
    </w:tblStylePr>
    <w:tblStylePr w:type="lastRow">
      <w:rPr>
        <w:b/>
        <w:color w:val="5c702f"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32"/>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12" w:space="0"/>
        </w:tcBorders>
      </w:tcPr>
    </w:tblStylePr>
    <w:tblStylePr w:type="lastCol">
      <w:rPr>
        <w:b/>
        <w:color w:val="664f82" w:themeColor="accent4" w:themeTint="9A" w:themeShade="95"/>
      </w:rPr>
    </w:tblStylePr>
    <w:tblStylePr w:type="lastRow">
      <w:rPr>
        <w:b/>
        <w:color w:val="664f82"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32"/>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5"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32"/>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404040" w:themeColor="accent5" w:themeShade="95"/>
        <w:sz w:val="22"/>
      </w:rPr>
    </w:tblStylePr>
    <w:tblStylePr w:type="firstCol">
      <w:rPr>
        <w:b/>
        <w:color w:val="266777" w:themeColor="accent5" w:themeShade="95"/>
      </w:rPr>
    </w:tblStylePr>
    <w:tblStylePr w:type="firstRow">
      <w:rPr>
        <w:b/>
        <w:color w:val="266777" w:themeColor="accent5" w:themeShade="95"/>
      </w:rPr>
      <w:tcPr>
        <w:tcBorders>
          <w:bottom w:val="single" w:color="000000" w:themeColor="accent6" w:sz="12" w:space="0"/>
        </w:tcBorders>
      </w:tcPr>
    </w:tblStylePr>
    <w:tblStylePr w:type="lastCol">
      <w:rPr>
        <w:b/>
        <w:color w:val="266777" w:themeColor="accent5" w:themeShade="95"/>
      </w:rPr>
    </w:tblStylePr>
    <w:tblStylePr w:type="lastRow">
      <w:rPr>
        <w:b/>
        <w:color w:val="266777" w:themeColor="accent5" w:themeShade="95"/>
      </w:rPr>
    </w:tblStylePr>
    <w:tblStylePr w:type="wholeTable">
      <w:rPr>
        <w:rFonts w:ascii="Arial" w:hAnsi="Arial"/>
        <w:color w:val="404040" w:themeColor="accent5" w:themeShade="95"/>
        <w:sz w:val="22"/>
      </w:rPr>
    </w:tblStylePr>
  </w:style>
  <w:style w:type="table" w:styleId="97">
    <w:name w:val="Grid Table 7 Colorful"/>
    <w:basedOn w:val="32"/>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32"/>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e70a3" w:themeColor="accent1" w:themeTint="80" w:themeShade="95"/>
        <w:sz w:val="22"/>
      </w:rPr>
      <w:tcPr>
        <w:shd w:val="clear" w:color="ffffff" w:themeColor="accent1" w:themeTint="34" w:fill="dae5f1" w:themeFill="accent1" w:themeFillTint="34"/>
      </w:tcPr>
    </w:tblStylePr>
    <w:tblStylePr w:type="band1Vert">
      <w:tcPr>
        <w:shd w:val="clear" w:color="ffffff" w:themeColor="accent1" w:themeTint="34" w:fill="dae5f1" w:themeFill="accent1" w:themeFillTint="34"/>
      </w:tcPr>
    </w:tblStylePr>
    <w:tblStylePr w:type="band2Horz">
      <w:rPr>
        <w:rFonts w:ascii="Arial" w:hAnsi="Arial"/>
        <w:color w:val="3e70a3" w:themeColor="accent1" w:themeTint="80" w:themeShade="95"/>
        <w:sz w:val="22"/>
      </w:rPr>
    </w:tblStylePr>
    <w:tblStylePr w:type="firstCol">
      <w:rPr>
        <w:rFonts w:ascii="Arial" w:hAnsi="Arial"/>
        <w:i/>
        <w:color w:val="3e70a3"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32"/>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32" w:fill="f2dcdb" w:themeFill="accent2" w:themeFillTint="32"/>
      </w:tcPr>
    </w:tblStylePr>
    <w:tblStylePr w:type="band1Vert">
      <w:tcPr>
        <w:shd w:val="clear" w:color="ffffff" w:themeColor="accent2" w:themeTint="32" w:fill="f2dcdb" w:themeFill="accent2" w:themeFillTint="32"/>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32"/>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5c702f" w:themeColor="accent3" w:themeTint="FE" w:themeShade="95"/>
        <w:sz w:val="22"/>
      </w:rPr>
      <w:tcPr>
        <w:shd w:val="clear" w:color="ffffff" w:themeColor="accent3" w:themeTint="34" w:fill="eaf0dd" w:themeFill="accent3" w:themeFillTint="34"/>
      </w:tcPr>
    </w:tblStylePr>
    <w:tblStylePr w:type="band1Vert">
      <w:tcPr>
        <w:shd w:val="clear" w:color="ffffff" w:themeColor="accent3" w:themeTint="34" w:fill="eaf0dd" w:themeFill="accent3" w:themeFillTint="34"/>
      </w:tcPr>
    </w:tblStylePr>
    <w:tblStylePr w:type="band2Horz">
      <w:rPr>
        <w:rFonts w:ascii="Arial" w:hAnsi="Arial"/>
        <w:color w:val="5c702f" w:themeColor="accent3" w:themeTint="FE" w:themeShade="95"/>
        <w:sz w:val="22"/>
      </w:rPr>
    </w:tblStylePr>
    <w:tblStylePr w:type="firstCol">
      <w:rPr>
        <w:rFonts w:ascii="Arial" w:hAnsi="Arial"/>
        <w:i/>
        <w:color w:val="5c702f"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32"/>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34" w:fill="e5dfec" w:themeFill="accent4" w:themeFillTint="34"/>
      </w:tcPr>
    </w:tblStylePr>
    <w:tblStylePr w:type="band1Vert">
      <w:tcPr>
        <w:shd w:val="clear" w:color="ffffff" w:themeColor="accent4" w:themeTint="34" w:fill="e5dfec" w:themeFill="accent4" w:themeFillTint="34"/>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32"/>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66777" w:themeColor="accent5" w:themeShade="95"/>
        <w:sz w:val="22"/>
      </w:rPr>
      <w:tcPr>
        <w:shd w:val="clear" w:color="ffffff" w:themeColor="accent5" w:themeTint="34" w:fill="daeef3" w:themeFill="accent5" w:themeFillTint="34"/>
      </w:tcPr>
    </w:tblStylePr>
    <w:tblStylePr w:type="band1Vert">
      <w:tcPr>
        <w:shd w:val="clear" w:color="ffffff" w:themeColor="accent5" w:themeTint="34" w:fill="daeef3" w:themeFill="accent5" w:themeFillTint="34"/>
      </w:tcPr>
    </w:tblStylePr>
    <w:tblStylePr w:type="band2Horz">
      <w:rPr>
        <w:rFonts w:ascii="Arial" w:hAnsi="Arial"/>
        <w:color w:val="266777" w:themeColor="accent5" w:themeShade="95"/>
        <w:sz w:val="22"/>
      </w:rPr>
    </w:tblStylePr>
    <w:tblStylePr w:type="firstCol">
      <w:rPr>
        <w:rFonts w:ascii="Arial" w:hAnsi="Arial"/>
        <w:i/>
        <w:color w:val="266777"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32"/>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b05307" w:themeColor="accent6" w:themeShade="95"/>
        <w:sz w:val="22"/>
      </w:rPr>
      <w:tcPr>
        <w:shd w:val="clear" w:color="ffffff" w:themeColor="accent6" w:themeTint="34" w:fill="fde9d8" w:themeFill="accent6" w:themeFillTint="34"/>
      </w:tcPr>
    </w:tblStylePr>
    <w:tblStylePr w:type="band1Vert">
      <w:tcPr>
        <w:shd w:val="clear" w:color="ffffff" w:themeColor="accent6" w:themeTint="34" w:fill="fde9d8" w:themeFill="accent6" w:themeFillTint="34"/>
      </w:tcPr>
    </w:tblStylePr>
    <w:tblStylePr w:type="band2Horz">
      <w:rPr>
        <w:rFonts w:ascii="Arial" w:hAnsi="Arial"/>
        <w:color w:val="b05307" w:themeColor="accent6" w:themeShade="95"/>
        <w:sz w:val="22"/>
      </w:rPr>
    </w:tblStylePr>
    <w:tblStylePr w:type="firstCol">
      <w:rPr>
        <w:rFonts w:ascii="Arial" w:hAnsi="Arial"/>
        <w:i/>
        <w:color w:val="b05307"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32"/>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32"/>
    <w:uiPriority w:val="99"/>
    <w:pPr>
      <w:spacing w:after="0" w:line="240" w:lineRule="auto"/>
    </w:pPr>
    <w:tblPr>
      <w:tblStyleRowBandSize w:val="1"/>
      <w:tblStyleColBandSize w:val="1"/>
      <w:tblInd w:w="0" w:type="dxa"/>
    </w:tblPr>
    <w:tblStylePr w:type="band1Horz">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32"/>
    <w:uiPriority w:val="99"/>
    <w:pPr>
      <w:spacing w:after="0" w:line="240" w:lineRule="auto"/>
    </w:pPr>
    <w:tblPr>
      <w:tblStyleRowBandSize w:val="1"/>
      <w:tblStyleColBandSize w:val="1"/>
      <w:tblInd w:w="0" w:type="dxa"/>
    </w:tblPr>
    <w:tblStylePr w:type="band1Horz">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32"/>
    <w:uiPriority w:val="99"/>
    <w:pPr>
      <w:spacing w:after="0" w:line="240" w:lineRule="auto"/>
    </w:pPr>
    <w:tblPr>
      <w:tblStyleRowBandSize w:val="1"/>
      <w:tblStyleColBandSize w:val="1"/>
      <w:tblInd w:w="0" w:type="dxa"/>
    </w:tblPr>
    <w:tblStylePr w:type="band1Horz">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32"/>
    <w:uiPriority w:val="99"/>
    <w:pPr>
      <w:spacing w:after="0" w:line="240" w:lineRule="auto"/>
    </w:pPr>
    <w:tblPr>
      <w:tblStyleRowBandSize w:val="1"/>
      <w:tblStyleColBandSize w:val="1"/>
      <w:tblInd w:w="0" w:type="dxa"/>
    </w:tblPr>
    <w:tblStylePr w:type="band1Horz">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32"/>
    <w:uiPriority w:val="99"/>
    <w:pPr>
      <w:spacing w:after="0" w:line="240" w:lineRule="auto"/>
    </w:pPr>
    <w:tblPr>
      <w:tblStyleRowBandSize w:val="1"/>
      <w:tblStyleColBandSize w:val="1"/>
      <w:tblInd w:w="0" w:type="dxa"/>
    </w:tblPr>
    <w:tblStylePr w:type="band1Horz">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32"/>
    <w:uiPriority w:val="99"/>
    <w:pPr>
      <w:spacing w:after="0" w:line="240" w:lineRule="auto"/>
    </w:pPr>
    <w:tblPr>
      <w:tblStyleRowBandSize w:val="1"/>
      <w:tblStyleColBandSize w:val="1"/>
      <w:tblInd w:w="0" w:type="dxa"/>
    </w:tblPr>
    <w:tblStylePr w:type="band1Horz">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32"/>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32"/>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32"/>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32"/>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32"/>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32"/>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32"/>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32"/>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32"/>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0">
    <w:name w:val="List Table 3 - Accent 2"/>
    <w:basedOn w:val="32"/>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d99694" w:themeFill="accent2" w:themeFillTint="97"/>
      </w:tcPr>
    </w:tblStylePr>
    <w:tblStylePr w:type="lastCol">
      <w:rPr>
        <w:b/>
        <w:color w:val="404040"/>
      </w:rPr>
    </w:tblStylePr>
    <w:tblStylePr w:type="lastRow">
      <w:rPr>
        <w:b/>
        <w:color w:val="404040"/>
      </w:rPr>
    </w:tblStylePr>
  </w:style>
  <w:style w:type="table" w:styleId="121">
    <w:name w:val="List Table 3 - Accent 3"/>
    <w:basedOn w:val="32"/>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3d69b" w:themeFill="accent3" w:themeFillTint="98"/>
      </w:tcPr>
    </w:tblStylePr>
    <w:tblStylePr w:type="lastCol">
      <w:rPr>
        <w:b/>
        <w:color w:val="404040"/>
      </w:rPr>
    </w:tblStylePr>
    <w:tblStylePr w:type="lastRow">
      <w:rPr>
        <w:b/>
        <w:color w:val="404040"/>
      </w:rPr>
    </w:tblStylePr>
  </w:style>
  <w:style w:type="table" w:styleId="122">
    <w:name w:val="List Table 3 - Accent 4"/>
    <w:basedOn w:val="32"/>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b2a1c6" w:themeFill="accent4" w:themeFillTint="9A"/>
      </w:tcPr>
    </w:tblStylePr>
    <w:tblStylePr w:type="lastCol">
      <w:rPr>
        <w:b/>
        <w:color w:val="404040"/>
      </w:rPr>
    </w:tblStylePr>
    <w:tblStylePr w:type="lastRow">
      <w:rPr>
        <w:b/>
        <w:color w:val="404040"/>
      </w:rPr>
    </w:tblStylePr>
  </w:style>
  <w:style w:type="table" w:styleId="123">
    <w:name w:val="List Table 3 - Accent 5"/>
    <w:basedOn w:val="32"/>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91cddc" w:themeFill="accent5" w:themeFillTint="9A"/>
      </w:tcPr>
    </w:tblStylePr>
    <w:tblStylePr w:type="lastCol">
      <w:rPr>
        <w:b/>
        <w:color w:val="404040"/>
      </w:rPr>
    </w:tblStylePr>
    <w:tblStylePr w:type="lastRow">
      <w:rPr>
        <w:b/>
        <w:color w:val="404040"/>
      </w:rPr>
    </w:tblStylePr>
  </w:style>
  <w:style w:type="table" w:styleId="124">
    <w:name w:val="List Table 3 - Accent 6"/>
    <w:basedOn w:val="32"/>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f9bf90" w:themeFill="accent6" w:themeFillTint="98"/>
      </w:tcPr>
    </w:tblStylePr>
    <w:tblStylePr w:type="lastCol">
      <w:rPr>
        <w:b/>
        <w:color w:val="404040"/>
      </w:rPr>
    </w:tblStylePr>
    <w:tblStylePr w:type="lastRow">
      <w:rPr>
        <w:b/>
        <w:color w:val="404040"/>
      </w:rPr>
    </w:tblStylePr>
  </w:style>
  <w:style w:type="table" w:styleId="125">
    <w:name w:val="List Table 4"/>
    <w:basedOn w:val="32"/>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32"/>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3e0ee" w:themeFill="accent1" w:themeFillTint="40"/>
      </w:tcPr>
    </w:tblStylePr>
    <w:tblStylePr w:type="band1Vert">
      <w:rPr>
        <w:rFonts w:ascii="Arial" w:hAnsi="Arial"/>
        <w:color w:val="404040"/>
        <w:sz w:val="22"/>
      </w:rPr>
      <w:tcPr>
        <w:shd w:val="clear" w:color="ffffff" w:themeColor="accent1" w:themeTint="40" w:fill="d3e0ee"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4f81bd" w:themeFill="accent1"/>
      </w:tcPr>
    </w:tblStylePr>
    <w:tblStylePr w:type="lastCol">
      <w:rPr>
        <w:b/>
        <w:color w:val="404040"/>
      </w:rPr>
    </w:tblStylePr>
    <w:tblStylePr w:type="lastRow">
      <w:rPr>
        <w:b/>
        <w:color w:val="404040"/>
      </w:rPr>
    </w:tblStylePr>
  </w:style>
  <w:style w:type="table" w:styleId="127">
    <w:name w:val="List Table 4 - Accent 2"/>
    <w:basedOn w:val="32"/>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efd3d2" w:themeFill="accent2" w:themeFillTint="40"/>
      </w:tcPr>
    </w:tblStylePr>
    <w:tblStylePr w:type="band1Vert">
      <w:rPr>
        <w:rFonts w:ascii="Arial" w:hAnsi="Arial"/>
        <w:color w:val="404040"/>
        <w:sz w:val="22"/>
      </w:rPr>
      <w:tcPr>
        <w:shd w:val="clear" w:color="ffffff" w:themeColor="accent2" w:themeTint="40" w:fill="efd3d2"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c0504d" w:themeFill="accent2"/>
      </w:tcPr>
    </w:tblStylePr>
    <w:tblStylePr w:type="lastCol">
      <w:rPr>
        <w:b/>
        <w:color w:val="404040"/>
      </w:rPr>
    </w:tblStylePr>
    <w:tblStylePr w:type="lastRow">
      <w:rPr>
        <w:b/>
        <w:color w:val="404040"/>
      </w:rPr>
    </w:tblStylePr>
  </w:style>
  <w:style w:type="table" w:styleId="128">
    <w:name w:val="List Table 4 - Accent 3"/>
    <w:basedOn w:val="32"/>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6eed5" w:themeFill="accent3" w:themeFillTint="40"/>
      </w:tcPr>
    </w:tblStylePr>
    <w:tblStylePr w:type="band1Vert">
      <w:rPr>
        <w:rFonts w:ascii="Arial" w:hAnsi="Arial"/>
        <w:color w:val="404040"/>
        <w:sz w:val="22"/>
      </w:rPr>
      <w:tcPr>
        <w:shd w:val="clear" w:color="ffffff" w:themeColor="accent3" w:themeTint="40" w:fill="e6eed5"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9bbb59" w:themeFill="accent3"/>
      </w:tcPr>
    </w:tblStylePr>
    <w:tblStylePr w:type="lastCol">
      <w:rPr>
        <w:b/>
        <w:color w:val="404040"/>
      </w:rPr>
    </w:tblStylePr>
    <w:tblStylePr w:type="lastRow">
      <w:rPr>
        <w:b/>
        <w:color w:val="404040"/>
      </w:rPr>
    </w:tblStylePr>
  </w:style>
  <w:style w:type="table" w:styleId="129">
    <w:name w:val="List Table 4 - Accent 4"/>
    <w:basedOn w:val="32"/>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dfd8e7" w:themeFill="accent4" w:themeFillTint="40"/>
      </w:tcPr>
    </w:tblStylePr>
    <w:tblStylePr w:type="band1Vert">
      <w:rPr>
        <w:rFonts w:ascii="Arial" w:hAnsi="Arial"/>
        <w:color w:val="404040"/>
        <w:sz w:val="22"/>
      </w:rPr>
      <w:tcPr>
        <w:shd w:val="clear" w:color="ffffff" w:themeColor="accent4" w:themeTint="40" w:fill="dfd8e7"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8064a2" w:themeFill="accent4"/>
      </w:tcPr>
    </w:tblStylePr>
    <w:tblStylePr w:type="lastCol">
      <w:rPr>
        <w:b/>
        <w:color w:val="404040"/>
      </w:rPr>
    </w:tblStylePr>
    <w:tblStylePr w:type="lastRow">
      <w:rPr>
        <w:b/>
        <w:color w:val="404040"/>
      </w:rPr>
    </w:tblStylePr>
  </w:style>
  <w:style w:type="table" w:styleId="130">
    <w:name w:val="List Table 4 - Accent 5"/>
    <w:basedOn w:val="32"/>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d1eaf0" w:themeFill="accent5" w:themeFillTint="40"/>
      </w:tcPr>
    </w:tblStylePr>
    <w:tblStylePr w:type="band1Vert">
      <w:rPr>
        <w:rFonts w:ascii="Arial" w:hAnsi="Arial"/>
        <w:color w:val="404040"/>
        <w:sz w:val="22"/>
      </w:rPr>
      <w:tcPr>
        <w:shd w:val="clear" w:color="ffffff" w:themeColor="accent5" w:themeTint="40" w:fill="d1ea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bacc6" w:themeFill="accent5"/>
      </w:tcPr>
    </w:tblStylePr>
    <w:tblStylePr w:type="lastCol">
      <w:rPr>
        <w:b/>
        <w:color w:val="404040"/>
      </w:rPr>
    </w:tblStylePr>
    <w:tblStylePr w:type="lastRow">
      <w:rPr>
        <w:b/>
        <w:color w:val="404040"/>
      </w:rPr>
    </w:tblStylePr>
  </w:style>
  <w:style w:type="table" w:styleId="131">
    <w:name w:val="List Table 4 - Accent 6"/>
    <w:basedOn w:val="32"/>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fce4d1" w:themeFill="accent6" w:themeFillTint="40"/>
      </w:tcPr>
    </w:tblStylePr>
    <w:tblStylePr w:type="band1Vert">
      <w:rPr>
        <w:rFonts w:ascii="Arial" w:hAnsi="Arial"/>
        <w:color w:val="404040"/>
        <w:sz w:val="22"/>
      </w:rPr>
      <w:tcPr>
        <w:shd w:val="clear" w:color="ffffff" w:themeColor="accent6" w:themeTint="40" w:fill="fce4d1"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f79646" w:themeFill="accent6"/>
      </w:tcPr>
    </w:tblStylePr>
    <w:tblStylePr w:type="lastCol">
      <w:rPr>
        <w:b/>
        <w:color w:val="404040"/>
      </w:rPr>
    </w:tblStylePr>
    <w:tblStylePr w:type="lastRow">
      <w:rPr>
        <w:b/>
        <w:color w:val="404040"/>
      </w:rPr>
    </w:tblStylePr>
  </w:style>
  <w:style w:type="table" w:styleId="132">
    <w:name w:val="List Table 5 Dark"/>
    <w:basedOn w:val="32"/>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32"/>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blStylePr w:type="band1Horz">
      <w:tcPr>
        <w:shd w:val="clear" w:color="ffffff" w:themeColor="accent1" w:fill="4f81bd" w:themeFill="accent1"/>
        <w:tcBorders>
          <w:top w:val="single" w:color="000000" w:themeColor="light1" w:sz="4" w:space="0"/>
          <w:bottom w:val="single" w:color="000000" w:themeColor="light1" w:sz="4" w:space="0"/>
        </w:tcBorders>
      </w:tcPr>
    </w:tblStylePr>
    <w:tblStylePr w:type="band1Vert">
      <w:tcPr>
        <w:shd w:val="clear" w:color="ffffff" w:themeColor="accent1" w:fill="4f81bd" w:themeFill="accent1"/>
        <w:tcBorders>
          <w:left w:val="single" w:color="000000" w:themeColor="light1" w:sz="4" w:space="0"/>
          <w:right w:val="single" w:color="000000" w:themeColor="light1" w:sz="4" w:space="0"/>
        </w:tcBorders>
      </w:tcPr>
    </w:tblStylePr>
    <w:tblStylePr w:type="band2Horz">
      <w:tcPr>
        <w:shd w:val="clear" w:color="ffffff" w:themeColor="accent1" w:fill="4f81bd"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4f81bd"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32"/>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blStylePr w:type="band1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32"/>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blStylePr w:type="band1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32"/>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blStylePr w:type="band1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32"/>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blStylePr w:type="band1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32"/>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blStylePr w:type="band1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32"/>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32"/>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404040" w:themeColor="accent1" w:themeShade="95"/>
        <w:sz w:val="22"/>
      </w:rPr>
    </w:tblStylePr>
    <w:tblStylePr w:type="firstCol">
      <w:rPr>
        <w:b/>
        <w:color w:val="2a4b71" w:themeColor="accent1" w:themeShade="95"/>
      </w:rPr>
    </w:tblStylePr>
    <w:tblStylePr w:type="firstRow">
      <w:rPr>
        <w:b/>
        <w:color w:val="2a4b71" w:themeColor="accent1" w:themeShade="95"/>
      </w:rPr>
      <w:tcPr>
        <w:tcBorders>
          <w:bottom w:val="single" w:color="000000" w:themeColor="accent1" w:sz="4" w:space="0"/>
        </w:tcBorders>
      </w:tcPr>
    </w:tblStylePr>
    <w:tblStylePr w:type="lastCol">
      <w:rPr>
        <w:b/>
        <w:color w:val="2a4b71" w:themeColor="accent1" w:themeShade="95"/>
      </w:rPr>
    </w:tblStylePr>
    <w:tblStylePr w:type="lastRow">
      <w:rPr>
        <w:b/>
        <w:color w:val="2a4b71" w:themeColor="accent1" w:themeShade="95"/>
      </w:rPr>
      <w:tcPr>
        <w:tcBorders>
          <w:top w:val="single" w:color="000000" w:themeColor="accent1" w:sz="4" w:space="0"/>
        </w:tcBorders>
      </w:tcPr>
    </w:tblStylePr>
  </w:style>
  <w:style w:type="table" w:styleId="141">
    <w:name w:val="List Table 6 Colorful - Accent 2"/>
    <w:basedOn w:val="32"/>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404040" w:themeColor="accent2" w:themeTint="97" w:themeShade="95"/>
        <w:sz w:val="22"/>
      </w:rPr>
    </w:tblStylePr>
    <w:tblStylePr w:type="firstCol">
      <w:rPr>
        <w:b/>
        <w:color w:val="9c3a37" w:themeColor="accent2" w:themeTint="97" w:themeShade="95"/>
      </w:rPr>
    </w:tblStylePr>
    <w:tblStylePr w:type="firstRow">
      <w:rPr>
        <w:b/>
        <w:color w:val="9c3a37" w:themeColor="accent2" w:themeTint="97" w:themeShade="95"/>
      </w:rPr>
      <w:tcPr>
        <w:tcBorders>
          <w:bottom w:val="single" w:color="000000" w:themeColor="accent2" w:themeTint="97" w:sz="4" w:space="0"/>
        </w:tcBorders>
      </w:tcPr>
    </w:tblStylePr>
    <w:tblStylePr w:type="lastCol">
      <w:rPr>
        <w:b/>
        <w:color w:val="9c3a37" w:themeColor="accent2" w:themeTint="97" w:themeShade="95"/>
      </w:rPr>
    </w:tblStylePr>
    <w:tblStylePr w:type="lastRow">
      <w:rPr>
        <w:b/>
        <w:color w:val="9c3a37" w:themeColor="accent2" w:themeTint="97" w:themeShade="95"/>
      </w:rPr>
      <w:tcPr>
        <w:tcBorders>
          <w:top w:val="single" w:color="000000" w:themeColor="accent2" w:themeTint="97" w:sz="4" w:space="0"/>
        </w:tcBorders>
      </w:tcPr>
    </w:tblStylePr>
  </w:style>
  <w:style w:type="table" w:styleId="142">
    <w:name w:val="List Table 6 Colorful - Accent 3"/>
    <w:basedOn w:val="32"/>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404040" w:themeColor="accent3" w:themeTint="98" w:themeShade="95"/>
        <w:sz w:val="22"/>
      </w:rPr>
    </w:tblStylePr>
    <w:tblStylePr w:type="firstCol">
      <w:rPr>
        <w:b/>
        <w:color w:val="7c983f" w:themeColor="accent3" w:themeTint="98" w:themeShade="95"/>
      </w:rPr>
    </w:tblStylePr>
    <w:tblStylePr w:type="firstRow">
      <w:rPr>
        <w:b/>
        <w:color w:val="7c983f" w:themeColor="accent3" w:themeTint="98" w:themeShade="95"/>
      </w:rPr>
      <w:tcPr>
        <w:tcBorders>
          <w:bottom w:val="single" w:color="000000" w:themeColor="accent3" w:themeTint="98" w:sz="4" w:space="0"/>
        </w:tcBorders>
      </w:tcPr>
    </w:tblStylePr>
    <w:tblStylePr w:type="lastCol">
      <w:rPr>
        <w:b/>
        <w:color w:val="7c983f" w:themeColor="accent3" w:themeTint="98" w:themeShade="95"/>
      </w:rPr>
    </w:tblStylePr>
    <w:tblStylePr w:type="lastRow">
      <w:rPr>
        <w:b/>
        <w:color w:val="7c983f" w:themeColor="accent3" w:themeTint="98" w:themeShade="95"/>
      </w:rPr>
      <w:tcPr>
        <w:tcBorders>
          <w:top w:val="single" w:color="000000" w:themeColor="accent3" w:themeTint="98" w:sz="4" w:space="0"/>
        </w:tcBorders>
      </w:tcPr>
    </w:tblStylePr>
  </w:style>
  <w:style w:type="table" w:styleId="143">
    <w:name w:val="List Table 6 Colorful - Accent 4"/>
    <w:basedOn w:val="32"/>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404040" w:themeColor="accent4" w:themeTint="9A" w:themeShade="95"/>
        <w:sz w:val="22"/>
      </w:rPr>
    </w:tblStylePr>
    <w:tblStylePr w:type="firstCol">
      <w:rPr>
        <w:b/>
        <w:color w:val="664f82" w:themeColor="accent4" w:themeTint="9A" w:themeShade="95"/>
      </w:rPr>
    </w:tblStylePr>
    <w:tblStylePr w:type="firstRow">
      <w:rPr>
        <w:b/>
        <w:color w:val="664f82" w:themeColor="accent4" w:themeTint="9A" w:themeShade="95"/>
      </w:rPr>
      <w:tcPr>
        <w:tcBorders>
          <w:bottom w:val="single" w:color="000000" w:themeColor="accent4" w:themeTint="9A" w:sz="4" w:space="0"/>
        </w:tcBorders>
      </w:tcPr>
    </w:tblStylePr>
    <w:tblStylePr w:type="lastCol">
      <w:rPr>
        <w:b/>
        <w:color w:val="664f82" w:themeColor="accent4" w:themeTint="9A" w:themeShade="95"/>
      </w:rPr>
    </w:tblStylePr>
    <w:tblStylePr w:type="lastRow">
      <w:rPr>
        <w:b/>
        <w:color w:val="664f82" w:themeColor="accent4" w:themeTint="9A" w:themeShade="95"/>
      </w:rPr>
      <w:tcPr>
        <w:tcBorders>
          <w:top w:val="single" w:color="000000" w:themeColor="accent4" w:themeTint="9A" w:sz="4" w:space="0"/>
        </w:tcBorders>
      </w:tcPr>
    </w:tblStylePr>
  </w:style>
  <w:style w:type="table" w:styleId="144">
    <w:name w:val="List Table 6 Colorful - Accent 5"/>
    <w:basedOn w:val="32"/>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404040" w:themeColor="accent5" w:themeTint="9A" w:themeShade="95"/>
        <w:sz w:val="22"/>
      </w:rPr>
    </w:tblStylePr>
    <w:tblStylePr w:type="firstCol">
      <w:rPr>
        <w:b/>
        <w:color w:val="338aa0" w:themeColor="accent5" w:themeTint="9A" w:themeShade="95"/>
      </w:rPr>
    </w:tblStylePr>
    <w:tblStylePr w:type="firstRow">
      <w:rPr>
        <w:b/>
        <w:color w:val="338aa0" w:themeColor="accent5" w:themeTint="9A" w:themeShade="95"/>
      </w:rPr>
      <w:tcPr>
        <w:tcBorders>
          <w:bottom w:val="single" w:color="000000" w:themeColor="accent5" w:themeTint="9A" w:sz="4" w:space="0"/>
        </w:tcBorders>
      </w:tcPr>
    </w:tblStylePr>
    <w:tblStylePr w:type="lastCol">
      <w:rPr>
        <w:b/>
        <w:color w:val="338aa0" w:themeColor="accent5" w:themeTint="9A" w:themeShade="95"/>
      </w:rPr>
    </w:tblStylePr>
    <w:tblStylePr w:type="lastRow">
      <w:rPr>
        <w:b/>
        <w:color w:val="338aa0" w:themeColor="accent5" w:themeTint="9A" w:themeShade="95"/>
      </w:rPr>
      <w:tcPr>
        <w:tcBorders>
          <w:top w:val="single" w:color="000000" w:themeColor="accent5" w:themeTint="9A" w:sz="4" w:space="0"/>
        </w:tcBorders>
      </w:tcPr>
    </w:tblStylePr>
  </w:style>
  <w:style w:type="table" w:styleId="145">
    <w:name w:val="List Table 6 Colorful - Accent 6"/>
    <w:basedOn w:val="32"/>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404040" w:themeColor="accent6" w:themeTint="98" w:themeShade="95"/>
        <w:sz w:val="22"/>
      </w:rPr>
    </w:tblStylePr>
    <w:tblStylePr w:type="firstCol">
      <w:rPr>
        <w:b/>
        <w:color w:val="d9680c" w:themeColor="accent6" w:themeTint="98" w:themeShade="95"/>
      </w:rPr>
    </w:tblStylePr>
    <w:tblStylePr w:type="firstRow">
      <w:rPr>
        <w:b/>
        <w:color w:val="d9680c" w:themeColor="accent6" w:themeTint="98" w:themeShade="95"/>
      </w:rPr>
      <w:tcPr>
        <w:tcBorders>
          <w:bottom w:val="single" w:color="000000" w:themeColor="accent6" w:themeTint="98" w:sz="4" w:space="0"/>
        </w:tcBorders>
      </w:tcPr>
    </w:tblStylePr>
    <w:tblStylePr w:type="lastCol">
      <w:rPr>
        <w:b/>
        <w:color w:val="d9680c" w:themeColor="accent6" w:themeTint="98" w:themeShade="95"/>
      </w:rPr>
    </w:tblStylePr>
    <w:tblStylePr w:type="lastRow">
      <w:rPr>
        <w:b/>
        <w:color w:val="d9680c" w:themeColor="accent6" w:themeTint="98" w:themeShade="95"/>
      </w:rPr>
      <w:tcPr>
        <w:tcBorders>
          <w:top w:val="single" w:color="000000" w:themeColor="accent6" w:themeTint="98" w:sz="4" w:space="0"/>
        </w:tcBorders>
      </w:tcPr>
    </w:tblStylePr>
  </w:style>
  <w:style w:type="table" w:styleId="146">
    <w:name w:val="List Table 7 Colorful"/>
    <w:basedOn w:val="32"/>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32"/>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a4b71" w:themeColor="accent1" w:themeShade="95"/>
        <w:sz w:val="22"/>
      </w:rPr>
      <w:tcPr>
        <w:shd w:val="clear" w:color="ffffff" w:themeColor="accent1" w:themeTint="40" w:fill="d3e0ee" w:themeFill="accent1" w:themeFillTint="40"/>
      </w:tcPr>
    </w:tblStylePr>
    <w:tblStylePr w:type="band1Vert">
      <w:tcPr>
        <w:shd w:val="clear" w:color="ffffff" w:themeColor="accent1" w:themeTint="40" w:fill="d3e0ee" w:themeFill="accent1" w:themeFillTint="40"/>
      </w:tcPr>
    </w:tblStylePr>
    <w:tblStylePr w:type="band2Horz">
      <w:rPr>
        <w:rFonts w:ascii="Arial" w:hAnsi="Arial"/>
        <w:color w:val="2a4b71" w:themeColor="accent1" w:themeShade="95"/>
        <w:sz w:val="22"/>
      </w:rPr>
    </w:tblStylePr>
    <w:tblStylePr w:type="firstCol">
      <w:rPr>
        <w:rFonts w:ascii="Arial" w:hAnsi="Arial"/>
        <w:i/>
        <w:color w:val="2a4b71"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a4b71" w:themeColor="accent1" w:themeShade="95"/>
        <w:sz w:val="22"/>
      </w:rPr>
    </w:tblStylePr>
  </w:style>
  <w:style w:type="table" w:styleId="148">
    <w:name w:val="List Table 7 Colorful - Accent 2"/>
    <w:basedOn w:val="32"/>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9c3a37" w:themeColor="accent2" w:themeTint="97" w:themeShade="95"/>
        <w:sz w:val="22"/>
      </w:rPr>
      <w:tcPr>
        <w:shd w:val="clear" w:color="ffffff" w:themeColor="accent2" w:themeTint="40" w:fill="efd3d2" w:themeFill="accent2" w:themeFillTint="40"/>
      </w:tcPr>
    </w:tblStylePr>
    <w:tblStylePr w:type="band1Vert">
      <w:tcPr>
        <w:shd w:val="clear" w:color="ffffff" w:themeColor="accent2" w:themeTint="40" w:fill="efd3d2" w:themeFill="accent2" w:themeFillTint="40"/>
      </w:tcPr>
    </w:tblStylePr>
    <w:tblStylePr w:type="band2Horz">
      <w:rPr>
        <w:rFonts w:ascii="Arial" w:hAnsi="Arial"/>
        <w:color w:val="9c3a37" w:themeColor="accent2" w:themeTint="97" w:themeShade="95"/>
        <w:sz w:val="22"/>
      </w:rPr>
    </w:tblStylePr>
    <w:tblStylePr w:type="firstCol">
      <w:rPr>
        <w:rFonts w:ascii="Arial" w:hAnsi="Arial"/>
        <w:i/>
        <w:color w:val="9c3a37"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9c3a37" w:themeColor="accent2" w:themeTint="97" w:themeShade="95"/>
        <w:sz w:val="22"/>
      </w:rPr>
    </w:tblStylePr>
  </w:style>
  <w:style w:type="table" w:styleId="149">
    <w:name w:val="List Table 7 Colorful - Accent 3"/>
    <w:basedOn w:val="32"/>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c983f" w:themeColor="accent3" w:themeTint="98" w:themeShade="95"/>
        <w:sz w:val="22"/>
      </w:rPr>
      <w:tcPr>
        <w:shd w:val="clear" w:color="ffffff" w:themeColor="accent3" w:themeTint="40" w:fill="e6eed5" w:themeFill="accent3" w:themeFillTint="40"/>
      </w:tcPr>
    </w:tblStylePr>
    <w:tblStylePr w:type="band1Vert">
      <w:tcPr>
        <w:shd w:val="clear" w:color="ffffff" w:themeColor="accent3" w:themeTint="40" w:fill="e6eed5" w:themeFill="accent3" w:themeFillTint="40"/>
      </w:tcPr>
    </w:tblStylePr>
    <w:tblStylePr w:type="band2Horz">
      <w:rPr>
        <w:rFonts w:ascii="Arial" w:hAnsi="Arial"/>
        <w:color w:val="7c983f" w:themeColor="accent3" w:themeTint="98" w:themeShade="95"/>
        <w:sz w:val="22"/>
      </w:rPr>
    </w:tblStylePr>
    <w:tblStylePr w:type="firstCol">
      <w:rPr>
        <w:rFonts w:ascii="Arial" w:hAnsi="Arial"/>
        <w:i/>
        <w:color w:val="7c983f"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c983f" w:themeColor="accent3" w:themeTint="98" w:themeShade="95"/>
        <w:sz w:val="22"/>
      </w:rPr>
    </w:tblStylePr>
  </w:style>
  <w:style w:type="table" w:styleId="150">
    <w:name w:val="List Table 7 Colorful - Accent 4"/>
    <w:basedOn w:val="32"/>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664f82" w:themeColor="accent4" w:themeTint="9A" w:themeShade="95"/>
        <w:sz w:val="22"/>
      </w:rPr>
      <w:tcPr>
        <w:shd w:val="clear" w:color="ffffff" w:themeColor="accent4" w:themeTint="40" w:fill="dfd8e7" w:themeFill="accent4" w:themeFillTint="40"/>
      </w:tcPr>
    </w:tblStylePr>
    <w:tblStylePr w:type="band1Vert">
      <w:tcPr>
        <w:shd w:val="clear" w:color="ffffff" w:themeColor="accent4" w:themeTint="40" w:fill="dfd8e7" w:themeFill="accent4" w:themeFillTint="40"/>
      </w:tcPr>
    </w:tblStylePr>
    <w:tblStylePr w:type="band2Horz">
      <w:rPr>
        <w:rFonts w:ascii="Arial" w:hAnsi="Arial"/>
        <w:color w:val="664f82" w:themeColor="accent4" w:themeTint="9A" w:themeShade="95"/>
        <w:sz w:val="22"/>
      </w:rPr>
    </w:tblStylePr>
    <w:tblStylePr w:type="firstCol">
      <w:rPr>
        <w:rFonts w:ascii="Arial" w:hAnsi="Arial"/>
        <w:i/>
        <w:color w:val="664f82"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664f82" w:themeColor="accent4" w:themeTint="9A" w:themeShade="95"/>
        <w:sz w:val="22"/>
      </w:rPr>
    </w:tblStylePr>
  </w:style>
  <w:style w:type="table" w:styleId="151">
    <w:name w:val="List Table 7 Colorful - Accent 5"/>
    <w:basedOn w:val="32"/>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8aa0" w:themeColor="accent5" w:themeTint="9A" w:themeShade="95"/>
        <w:sz w:val="22"/>
      </w:rPr>
      <w:tcPr>
        <w:shd w:val="clear" w:color="ffffff" w:themeColor="accent5" w:themeTint="40" w:fill="d1eaf0" w:themeFill="accent5" w:themeFillTint="40"/>
      </w:tcPr>
    </w:tblStylePr>
    <w:tblStylePr w:type="band1Vert">
      <w:tcPr>
        <w:shd w:val="clear" w:color="ffffff" w:themeColor="accent5" w:themeTint="40" w:fill="d1eaf0" w:themeFill="accent5" w:themeFillTint="40"/>
      </w:tcPr>
    </w:tblStylePr>
    <w:tblStylePr w:type="band2Horz">
      <w:rPr>
        <w:rFonts w:ascii="Arial" w:hAnsi="Arial"/>
        <w:color w:val="338aa0" w:themeColor="accent5" w:themeTint="9A" w:themeShade="95"/>
        <w:sz w:val="22"/>
      </w:rPr>
    </w:tblStylePr>
    <w:tblStylePr w:type="firstCol">
      <w:rPr>
        <w:rFonts w:ascii="Arial" w:hAnsi="Arial"/>
        <w:i/>
        <w:color w:val="338aa0"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8aa0" w:themeColor="accent5" w:themeTint="9A" w:themeShade="95"/>
        <w:sz w:val="22"/>
      </w:rPr>
    </w:tblStylePr>
  </w:style>
  <w:style w:type="table" w:styleId="152">
    <w:name w:val="List Table 7 Colorful - Accent 6"/>
    <w:basedOn w:val="32"/>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d9680c" w:themeColor="accent6" w:themeTint="98" w:themeShade="95"/>
        <w:sz w:val="22"/>
      </w:rPr>
      <w:tcPr>
        <w:shd w:val="clear" w:color="ffffff" w:themeColor="accent6" w:themeTint="40" w:fill="fce4d1" w:themeFill="accent6" w:themeFillTint="40"/>
      </w:tcPr>
    </w:tblStylePr>
    <w:tblStylePr w:type="band1Vert">
      <w:tcPr>
        <w:shd w:val="clear" w:color="ffffff" w:themeColor="accent6" w:themeTint="40" w:fill="fce4d1" w:themeFill="accent6" w:themeFillTint="40"/>
      </w:tcPr>
    </w:tblStylePr>
    <w:tblStylePr w:type="band2Horz">
      <w:rPr>
        <w:rFonts w:ascii="Arial" w:hAnsi="Arial"/>
        <w:color w:val="d9680c" w:themeColor="accent6" w:themeTint="98" w:themeShade="95"/>
        <w:sz w:val="22"/>
      </w:rPr>
    </w:tblStylePr>
    <w:tblStylePr w:type="firstCol">
      <w:rPr>
        <w:rFonts w:ascii="Arial" w:hAnsi="Arial"/>
        <w:i/>
        <w:color w:val="d9680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d9680c" w:themeColor="accent6" w:themeTint="98" w:themeShade="95"/>
        <w:sz w:val="22"/>
      </w:rPr>
    </w:tblStylePr>
  </w:style>
  <w:style w:type="table" w:styleId="153">
    <w:name w:val="Lined - Accent"/>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55">
    <w:name w:val="Lined - Accent 2"/>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56">
    <w:name w:val="Lined - Accent 3"/>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57">
    <w:name w:val="Lined - Accent 4"/>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58">
    <w:name w:val="Lined - Accent 5"/>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59">
    <w:name w:val="Lined - Accent 6"/>
    <w:basedOn w:val="32"/>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0">
    <w:name w:val="Bordered &amp; Lined - Accent"/>
    <w:basedOn w:val="32"/>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32"/>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7d7ea" w:themeFill="accent1" w:themeFillTint="50"/>
      </w:tcPr>
    </w:tblStylePr>
    <w:tblStylePr w:type="band2Vert">
      <w:rPr>
        <w:rFonts w:ascii="Arial" w:hAnsi="Arial"/>
        <w:color w:val="404040"/>
        <w:sz w:val="22"/>
      </w:rPr>
      <w:tcPr>
        <w:shd w:val="clear" w:color="ffffff" w:themeColor="accent1" w:themeTint="50" w:fill="c7d7ea" w:themeFill="accent1" w:themeFillTint="50"/>
      </w:tcPr>
    </w:tblStylePr>
    <w:tblStylePr w:type="firstCol">
      <w:rPr>
        <w:rFonts w:ascii="Arial" w:hAnsi="Arial"/>
        <w:color w:val="f2f2f2"/>
        <w:sz w:val="22"/>
      </w:rPr>
      <w:tcPr>
        <w:shd w:val="clear" w:color="ffffff" w:themeColor="accent1" w:themeTint="EA" w:fill="5d8dc2" w:themeFill="accent1" w:themeFillTint="EA"/>
      </w:tcPr>
    </w:tblStylePr>
    <w:tblStylePr w:type="firstRow">
      <w:rPr>
        <w:rFonts w:ascii="Arial" w:hAnsi="Arial"/>
        <w:color w:val="f2f2f2"/>
        <w:sz w:val="22"/>
      </w:rPr>
      <w:tcPr>
        <w:shd w:val="clear" w:color="ffffff" w:themeColor="accent1" w:themeTint="EA" w:fill="5d8dc2" w:themeFill="accent1" w:themeFillTint="EA"/>
      </w:tcPr>
    </w:tblStylePr>
    <w:tblStylePr w:type="lastCol">
      <w:rPr>
        <w:rFonts w:ascii="Arial" w:hAnsi="Arial"/>
        <w:color w:val="f2f2f2"/>
        <w:sz w:val="22"/>
      </w:rPr>
      <w:tcPr>
        <w:shd w:val="clear" w:color="ffffff" w:themeColor="accent1" w:themeTint="EA" w:fill="5d8dc2" w:themeFill="accent1" w:themeFillTint="EA"/>
      </w:tcPr>
    </w:tblStylePr>
    <w:tblStylePr w:type="lastRow">
      <w:rPr>
        <w:rFonts w:ascii="Arial" w:hAnsi="Arial"/>
        <w:color w:val="f2f2f2"/>
        <w:sz w:val="22"/>
      </w:rPr>
      <w:tcPr>
        <w:shd w:val="clear" w:color="ffffff" w:themeColor="accent1" w:themeTint="EA" w:fill="5d8dc2" w:themeFill="accent1" w:themeFillTint="EA"/>
      </w:tcPr>
    </w:tblStylePr>
  </w:style>
  <w:style w:type="table" w:styleId="162">
    <w:name w:val="Bordered &amp; Lined - Accent 2"/>
    <w:basedOn w:val="32"/>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2dcdb" w:themeFill="accent2" w:themeFillTint="32"/>
      </w:tcPr>
    </w:tblStylePr>
    <w:tblStylePr w:type="band2Vert">
      <w:rPr>
        <w:rFonts w:ascii="Arial" w:hAnsi="Arial"/>
        <w:color w:val="404040"/>
        <w:sz w:val="22"/>
      </w:rPr>
      <w:tcPr>
        <w:shd w:val="clear" w:color="ffffff" w:themeColor="accent2" w:themeTint="32" w:fill="f2dcdb" w:themeFill="accent2" w:themeFillTint="32"/>
      </w:tcPr>
    </w:tblStylePr>
    <w:tblStylePr w:type="firstCol">
      <w:rPr>
        <w:rFonts w:ascii="Arial" w:hAnsi="Arial"/>
        <w:color w:val="f2f2f2"/>
        <w:sz w:val="22"/>
      </w:rPr>
      <w:tcPr>
        <w:shd w:val="clear" w:color="ffffff" w:themeColor="accent2" w:themeTint="97" w:fill="d99694" w:themeFill="accent2" w:themeFillTint="97"/>
      </w:tcPr>
    </w:tblStylePr>
    <w:tblStylePr w:type="firstRow">
      <w:rPr>
        <w:rFonts w:ascii="Arial" w:hAnsi="Arial"/>
        <w:color w:val="f2f2f2"/>
        <w:sz w:val="22"/>
      </w:rPr>
      <w:tcPr>
        <w:shd w:val="clear" w:color="ffffff" w:themeColor="accent2" w:themeTint="97" w:fill="d99694" w:themeFill="accent2" w:themeFillTint="97"/>
      </w:tcPr>
    </w:tblStylePr>
    <w:tblStylePr w:type="lastCol">
      <w:rPr>
        <w:rFonts w:ascii="Arial" w:hAnsi="Arial"/>
        <w:color w:val="f2f2f2"/>
        <w:sz w:val="22"/>
      </w:rPr>
      <w:tcPr>
        <w:shd w:val="clear" w:color="ffffff" w:themeColor="accent2" w:themeTint="97" w:fill="d99694" w:themeFill="accent2" w:themeFillTint="97"/>
      </w:tcPr>
    </w:tblStylePr>
    <w:tblStylePr w:type="lastRow">
      <w:rPr>
        <w:rFonts w:ascii="Arial" w:hAnsi="Arial"/>
        <w:color w:val="f2f2f2"/>
        <w:sz w:val="22"/>
      </w:rPr>
      <w:tcPr>
        <w:shd w:val="clear" w:color="ffffff" w:themeColor="accent2" w:themeTint="97" w:fill="d99694" w:themeFill="accent2" w:themeFillTint="97"/>
      </w:tcPr>
    </w:tblStylePr>
  </w:style>
  <w:style w:type="table" w:styleId="163">
    <w:name w:val="Bordered &amp; Lined - Accent 3"/>
    <w:basedOn w:val="32"/>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af0dd" w:themeFill="accent3" w:themeFillTint="34"/>
      </w:tcPr>
    </w:tblStylePr>
    <w:tblStylePr w:type="band2Vert">
      <w:rPr>
        <w:rFonts w:ascii="Arial" w:hAnsi="Arial"/>
        <w:color w:val="404040"/>
        <w:sz w:val="22"/>
      </w:rPr>
      <w:tcPr>
        <w:shd w:val="clear" w:color="ffffff" w:themeColor="accent3" w:themeTint="34" w:fill="eaf0dd" w:themeFill="accent3" w:themeFillTint="34"/>
      </w:tcPr>
    </w:tblStylePr>
    <w:tblStylePr w:type="firstCol">
      <w:rPr>
        <w:rFonts w:ascii="Arial" w:hAnsi="Arial"/>
        <w:color w:val="f2f2f2"/>
        <w:sz w:val="22"/>
      </w:rPr>
      <w:tcPr>
        <w:shd w:val="clear" w:color="ffffff" w:themeColor="accent3" w:themeTint="FE" w:fill="9bba59" w:themeFill="accent3" w:themeFillTint="FE"/>
      </w:tcPr>
    </w:tblStylePr>
    <w:tblStylePr w:type="firstRow">
      <w:rPr>
        <w:rFonts w:ascii="Arial" w:hAnsi="Arial"/>
        <w:color w:val="f2f2f2"/>
        <w:sz w:val="22"/>
      </w:rPr>
      <w:tcPr>
        <w:shd w:val="clear" w:color="ffffff" w:themeColor="accent3" w:themeTint="FE" w:fill="9bba59" w:themeFill="accent3" w:themeFillTint="FE"/>
      </w:tcPr>
    </w:tblStylePr>
    <w:tblStylePr w:type="lastCol">
      <w:rPr>
        <w:rFonts w:ascii="Arial" w:hAnsi="Arial"/>
        <w:color w:val="f2f2f2"/>
        <w:sz w:val="22"/>
      </w:rPr>
      <w:tcPr>
        <w:shd w:val="clear" w:color="ffffff" w:themeColor="accent3" w:themeTint="FE" w:fill="9bba59" w:themeFill="accent3" w:themeFillTint="FE"/>
      </w:tcPr>
    </w:tblStylePr>
    <w:tblStylePr w:type="lastRow">
      <w:rPr>
        <w:rFonts w:ascii="Arial" w:hAnsi="Arial"/>
        <w:color w:val="f2f2f2"/>
        <w:sz w:val="22"/>
      </w:rPr>
      <w:tcPr>
        <w:shd w:val="clear" w:color="ffffff" w:themeColor="accent3" w:themeTint="FE" w:fill="9bba59" w:themeFill="accent3" w:themeFillTint="FE"/>
      </w:tcPr>
    </w:tblStylePr>
  </w:style>
  <w:style w:type="table" w:styleId="164">
    <w:name w:val="Bordered &amp; Lined - Accent 4"/>
    <w:basedOn w:val="32"/>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e5dfec" w:themeFill="accent4" w:themeFillTint="34"/>
      </w:tcPr>
    </w:tblStylePr>
    <w:tblStylePr w:type="band2Vert">
      <w:rPr>
        <w:rFonts w:ascii="Arial" w:hAnsi="Arial"/>
        <w:color w:val="404040"/>
        <w:sz w:val="22"/>
      </w:rPr>
      <w:tcPr>
        <w:shd w:val="clear" w:color="ffffff" w:themeColor="accent4" w:themeTint="34" w:fill="e5dfec" w:themeFill="accent4" w:themeFillTint="34"/>
      </w:tcPr>
    </w:tblStylePr>
    <w:tblStylePr w:type="firstCol">
      <w:rPr>
        <w:rFonts w:ascii="Arial" w:hAnsi="Arial"/>
        <w:color w:val="f2f2f2"/>
        <w:sz w:val="22"/>
      </w:rPr>
      <w:tcPr>
        <w:shd w:val="clear" w:color="ffffff" w:themeColor="accent4" w:themeTint="9A" w:fill="b2a1c6" w:themeFill="accent4" w:themeFillTint="9A"/>
      </w:tcPr>
    </w:tblStylePr>
    <w:tblStylePr w:type="firstRow">
      <w:rPr>
        <w:rFonts w:ascii="Arial" w:hAnsi="Arial"/>
        <w:color w:val="f2f2f2"/>
        <w:sz w:val="22"/>
      </w:rPr>
      <w:tcPr>
        <w:shd w:val="clear" w:color="ffffff" w:themeColor="accent4" w:themeTint="9A" w:fill="b2a1c6" w:themeFill="accent4" w:themeFillTint="9A"/>
      </w:tcPr>
    </w:tblStylePr>
    <w:tblStylePr w:type="lastCol">
      <w:rPr>
        <w:rFonts w:ascii="Arial" w:hAnsi="Arial"/>
        <w:color w:val="f2f2f2"/>
        <w:sz w:val="22"/>
      </w:rPr>
      <w:tcPr>
        <w:shd w:val="clear" w:color="ffffff" w:themeColor="accent4" w:themeTint="9A" w:fill="b2a1c6" w:themeFill="accent4" w:themeFillTint="9A"/>
      </w:tcPr>
    </w:tblStylePr>
    <w:tblStylePr w:type="lastRow">
      <w:rPr>
        <w:rFonts w:ascii="Arial" w:hAnsi="Arial"/>
        <w:color w:val="f2f2f2"/>
        <w:sz w:val="22"/>
      </w:rPr>
      <w:tcPr>
        <w:shd w:val="clear" w:color="ffffff" w:themeColor="accent4" w:themeTint="9A" w:fill="b2a1c6" w:themeFill="accent4" w:themeFillTint="9A"/>
      </w:tcPr>
    </w:tblStylePr>
  </w:style>
  <w:style w:type="table" w:styleId="165">
    <w:name w:val="Bordered &amp; Lined - Accent 5"/>
    <w:basedOn w:val="32"/>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aeef3" w:themeFill="accent5" w:themeFillTint="34"/>
      </w:tcPr>
    </w:tblStylePr>
    <w:tblStylePr w:type="band2Vert">
      <w:rPr>
        <w:rFonts w:ascii="Arial" w:hAnsi="Arial"/>
        <w:color w:val="404040"/>
        <w:sz w:val="22"/>
      </w:rPr>
      <w:tcPr>
        <w:shd w:val="clear" w:color="ffffff" w:themeColor="accent5" w:themeTint="34" w:fill="daeef3" w:themeFill="accent5" w:themeFillTint="34"/>
      </w:tcPr>
    </w:tblStylePr>
    <w:tblStylePr w:type="firstCol">
      <w:rPr>
        <w:rFonts w:ascii="Arial" w:hAnsi="Arial"/>
        <w:color w:val="f2f2f2"/>
        <w:sz w:val="22"/>
      </w:rPr>
      <w:tcPr>
        <w:shd w:val="clear" w:color="ffffff" w:themeColor="accent5" w:fill="4bacc6" w:themeFill="accent5"/>
      </w:tcPr>
    </w:tblStylePr>
    <w:tblStylePr w:type="firstRow">
      <w:rPr>
        <w:rFonts w:ascii="Arial" w:hAnsi="Arial"/>
        <w:color w:val="f2f2f2"/>
        <w:sz w:val="22"/>
      </w:rPr>
      <w:tcPr>
        <w:shd w:val="clear" w:color="ffffff" w:themeColor="accent5" w:fill="4bacc6" w:themeFill="accent5"/>
      </w:tcPr>
    </w:tblStylePr>
    <w:tblStylePr w:type="lastCol">
      <w:rPr>
        <w:rFonts w:ascii="Arial" w:hAnsi="Arial"/>
        <w:color w:val="f2f2f2"/>
        <w:sz w:val="22"/>
      </w:rPr>
      <w:tcPr>
        <w:shd w:val="clear" w:color="ffffff" w:themeColor="accent5" w:fill="4bacc6" w:themeFill="accent5"/>
      </w:tcPr>
    </w:tblStylePr>
    <w:tblStylePr w:type="lastRow">
      <w:rPr>
        <w:rFonts w:ascii="Arial" w:hAnsi="Arial"/>
        <w:color w:val="f2f2f2"/>
        <w:sz w:val="22"/>
      </w:rPr>
      <w:tcPr>
        <w:shd w:val="clear" w:color="ffffff" w:themeColor="accent5" w:fill="4bacc6" w:themeFill="accent5"/>
      </w:tcPr>
    </w:tblStylePr>
  </w:style>
  <w:style w:type="table" w:styleId="166">
    <w:name w:val="Bordered &amp; Lined - Accent 6"/>
    <w:basedOn w:val="32"/>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fde9d8" w:themeFill="accent6" w:themeFillTint="34"/>
      </w:tcPr>
    </w:tblStylePr>
    <w:tblStylePr w:type="band2Vert">
      <w:rPr>
        <w:rFonts w:ascii="Arial" w:hAnsi="Arial"/>
        <w:color w:val="404040"/>
        <w:sz w:val="22"/>
      </w:rPr>
      <w:tcPr>
        <w:shd w:val="clear" w:color="ffffff" w:themeColor="accent6" w:themeTint="34" w:fill="fde9d8" w:themeFill="accent6" w:themeFillTint="34"/>
      </w:tcPr>
    </w:tblStylePr>
    <w:tblStylePr w:type="firstCol">
      <w:rPr>
        <w:rFonts w:ascii="Arial" w:hAnsi="Arial"/>
        <w:color w:val="f2f2f2"/>
        <w:sz w:val="22"/>
      </w:rPr>
      <w:tcPr>
        <w:shd w:val="clear" w:color="ffffff" w:themeColor="accent6" w:fill="f79646" w:themeFill="accent6"/>
      </w:tcPr>
    </w:tblStylePr>
    <w:tblStylePr w:type="firstRow">
      <w:rPr>
        <w:rFonts w:ascii="Arial" w:hAnsi="Arial"/>
        <w:color w:val="f2f2f2"/>
        <w:sz w:val="22"/>
      </w:rPr>
      <w:tcPr>
        <w:shd w:val="clear" w:color="ffffff" w:themeColor="accent6" w:fill="f79646" w:themeFill="accent6"/>
      </w:tcPr>
    </w:tblStylePr>
    <w:tblStylePr w:type="lastCol">
      <w:rPr>
        <w:rFonts w:ascii="Arial" w:hAnsi="Arial"/>
        <w:color w:val="f2f2f2"/>
        <w:sz w:val="22"/>
      </w:rPr>
      <w:tcPr>
        <w:shd w:val="clear" w:color="ffffff" w:themeColor="accent6" w:fill="f79646" w:themeFill="accent6"/>
      </w:tcPr>
    </w:tblStylePr>
    <w:tblStylePr w:type="lastRow">
      <w:rPr>
        <w:rFonts w:ascii="Arial" w:hAnsi="Arial"/>
        <w:color w:val="f2f2f2"/>
        <w:sz w:val="22"/>
      </w:rPr>
      <w:tcPr>
        <w:shd w:val="clear" w:color="ffffff" w:themeColor="accent6" w:fill="f79646" w:themeFill="accent6"/>
      </w:tcPr>
    </w:tblStylePr>
  </w:style>
  <w:style w:type="table" w:styleId="167">
    <w:name w:val="Bordered"/>
    <w:basedOn w:val="32"/>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32"/>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32"/>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32"/>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32"/>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32"/>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32"/>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10"/>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11"/>
    <w:uiPriority w:val="99"/>
    <w:unhideWhenUsed/>
    <w:rPr>
      <w:vertAlign w:val="superscript"/>
    </w:rPr>
  </w:style>
  <w:style w:type="paragraph" w:styleId="178">
    <w:name w:val="endnote text"/>
    <w:basedOn w:val="10"/>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11"/>
    <w:uiPriority w:val="99"/>
    <w:semiHidden/>
    <w:unhideWhenUsed/>
    <w:rPr>
      <w:vertAlign w:val="superscript"/>
    </w:rPr>
  </w:style>
  <w:style w:type="paragraph" w:styleId="181">
    <w:name w:val="toc 1"/>
    <w:basedOn w:val="10"/>
    <w:next w:val="10"/>
    <w:uiPriority w:val="39"/>
    <w:unhideWhenUsed/>
    <w:pPr>
      <w:ind w:left="0" w:right="0" w:firstLine="0"/>
      <w:spacing w:after="57"/>
    </w:pPr>
  </w:style>
  <w:style w:type="paragraph" w:styleId="182">
    <w:name w:val="toc 2"/>
    <w:basedOn w:val="10"/>
    <w:next w:val="10"/>
    <w:uiPriority w:val="39"/>
    <w:unhideWhenUsed/>
    <w:pPr>
      <w:ind w:left="283" w:right="0" w:firstLine="0"/>
      <w:spacing w:after="57"/>
    </w:pPr>
  </w:style>
  <w:style w:type="paragraph" w:styleId="183">
    <w:name w:val="toc 3"/>
    <w:basedOn w:val="10"/>
    <w:next w:val="10"/>
    <w:uiPriority w:val="39"/>
    <w:unhideWhenUsed/>
    <w:pPr>
      <w:ind w:left="567" w:right="0" w:firstLine="0"/>
      <w:spacing w:after="57"/>
    </w:pPr>
  </w:style>
  <w:style w:type="paragraph" w:styleId="184">
    <w:name w:val="toc 4"/>
    <w:basedOn w:val="10"/>
    <w:next w:val="10"/>
    <w:uiPriority w:val="39"/>
    <w:unhideWhenUsed/>
    <w:pPr>
      <w:ind w:left="850" w:right="0" w:firstLine="0"/>
      <w:spacing w:after="57"/>
    </w:pPr>
  </w:style>
  <w:style w:type="paragraph" w:styleId="185">
    <w:name w:val="toc 5"/>
    <w:basedOn w:val="10"/>
    <w:next w:val="10"/>
    <w:uiPriority w:val="39"/>
    <w:unhideWhenUsed/>
    <w:pPr>
      <w:ind w:left="1134" w:right="0" w:firstLine="0"/>
      <w:spacing w:after="57"/>
    </w:pPr>
  </w:style>
  <w:style w:type="paragraph" w:styleId="186">
    <w:name w:val="toc 6"/>
    <w:basedOn w:val="10"/>
    <w:next w:val="10"/>
    <w:uiPriority w:val="39"/>
    <w:unhideWhenUsed/>
    <w:pPr>
      <w:ind w:left="1417" w:right="0" w:firstLine="0"/>
      <w:spacing w:after="57"/>
    </w:pPr>
  </w:style>
  <w:style w:type="paragraph" w:styleId="187">
    <w:name w:val="toc 7"/>
    <w:basedOn w:val="10"/>
    <w:next w:val="10"/>
    <w:uiPriority w:val="39"/>
    <w:unhideWhenUsed/>
    <w:pPr>
      <w:ind w:left="1701" w:right="0" w:firstLine="0"/>
      <w:spacing w:after="57"/>
    </w:pPr>
  </w:style>
  <w:style w:type="paragraph" w:styleId="188">
    <w:name w:val="toc 8"/>
    <w:basedOn w:val="10"/>
    <w:next w:val="10"/>
    <w:uiPriority w:val="39"/>
    <w:unhideWhenUsed/>
    <w:pPr>
      <w:ind w:left="1984" w:right="0" w:firstLine="0"/>
      <w:spacing w:after="57"/>
    </w:pPr>
  </w:style>
  <w:style w:type="paragraph" w:styleId="189">
    <w:name w:val="toc 9"/>
    <w:basedOn w:val="10"/>
    <w:next w:val="10"/>
    <w:uiPriority w:val="39"/>
    <w:unhideWhenUsed/>
    <w:pPr>
      <w:ind w:left="2268" w:right="0" w:firstLine="0"/>
      <w:spacing w:after="57"/>
    </w:pPr>
  </w:style>
  <w:style w:type="paragraph" w:styleId="190">
    <w:name w:val="TOC Heading"/>
    <w:uiPriority w:val="39"/>
    <w:unhideWhenUsed/>
  </w:style>
  <w:style w:type="paragraph" w:styleId="191">
    <w:name w:val="table of figures"/>
    <w:basedOn w:val="10"/>
    <w:next w:val="10"/>
    <w:uiPriority w:val="99"/>
    <w:unhideWhenUsed/>
    <w:pPr>
      <w:spacing w:after="0" w:afterAutospacing="0"/>
    </w:pPr>
  </w:style>
  <w:style w:type="paragraph" w:styleId="770">
    <w:name w:val="ConsPlusNonformat"/>
    <w:pPr>
      <w:jc w:val="left"/>
      <w:spacing w:before="0" w:after="0" w:line="240" w:lineRule="auto"/>
    </w:pPr>
    <w:rPr>
      <w:rFonts w:ascii="Courier New" w:hAnsi="Courier New" w:eastAsia="Courier New" w:cs="Courier New"/>
      <w:b w:val="0"/>
      <w:i w:val="0"/>
      <w:strike w:val="0"/>
      <w:sz w:val="20"/>
    </w:rPr>
  </w:style>
  <w:style w:type="paragraph" w:styleId="771">
    <w:name w:val="ConsPlusTitle"/>
    <w:pPr>
      <w:jc w:val="left"/>
      <w:spacing w:before="0" w:after="0" w:line="240" w:lineRule="auto"/>
    </w:pPr>
    <w:rPr>
      <w:rFonts w:ascii="Arial" w:hAnsi="Arial" w:eastAsia="Arial" w:cs="Arial"/>
      <w:b/>
      <w:i w:val="0"/>
      <w:strike w:val="0"/>
      <w:sz w:val="20"/>
    </w:rPr>
  </w:style>
  <w:style w:type="paragraph" w:styleId="772">
    <w:name w:val="ConsPlusCell"/>
    <w:pPr>
      <w:jc w:val="left"/>
      <w:spacing w:before="0" w:after="0" w:line="240" w:lineRule="auto"/>
    </w:pPr>
    <w:rPr>
      <w:rFonts w:ascii="Arial" w:hAnsi="Arial" w:eastAsia="Arial" w:cs="Arial"/>
      <w:b w:val="0"/>
      <w:i w:val="0"/>
      <w:strike w:val="0"/>
      <w:sz w:val="20"/>
    </w:rPr>
  </w:style>
  <w:style w:type="paragraph" w:styleId="773">
    <w:name w:val="ConsPlusDocList"/>
    <w:pPr>
      <w:jc w:val="left"/>
      <w:spacing w:before="0" w:after="0" w:line="240" w:lineRule="auto"/>
    </w:pPr>
    <w:rPr>
      <w:rFonts w:ascii="Arial" w:hAnsi="Arial" w:eastAsia="Arial" w:cs="Arial"/>
      <w:b w:val="0"/>
      <w:i w:val="0"/>
      <w:strike w:val="0"/>
      <w:sz w:val="20"/>
    </w:rPr>
  </w:style>
  <w:style w:type="character" w:styleId="3808" w:default="1">
    <w:name w:val="Default Paragraph Font"/>
    <w:uiPriority w:val="1"/>
    <w:semiHidden/>
    <w:unhideWhenUsed/>
  </w:style>
  <w:style w:type="numbering" w:styleId="3809" w:default="1">
    <w:name w:val="No List"/>
    <w:uiPriority w:val="99"/>
    <w:semiHidden/>
    <w:unhideWhenUsed/>
  </w:style>
  <w:style w:type="paragraph" w:styleId="3810" w:default="1">
    <w:name w:val="Normal"/>
    <w:qFormat/>
  </w:style>
  <w:style w:type="table" w:styleId="3811" w:default="1">
    <w:name w:val="Normal Table"/>
    <w:uiPriority w:val="99"/>
    <w:semiHidden/>
    <w:unhideWhenUsed/>
    <w:tbl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 Id="rId10" Type="http://schemas.openxmlformats.org/officeDocument/2006/relationships/footer" Target="footer2.xml" /><Relationship Id="rId11" Type="http://schemas.openxmlformats.org/officeDocument/2006/relationships/hyperlink" Target="consultantplus://offline/ref=36965D7B2E0C84C6FB267770E660929D75779196264F67BE7D03A79C890E589AF2C7BB30BDC2003EyFB4K" TargetMode="External"/><Relationship Id="rId12" Type="http://schemas.openxmlformats.org/officeDocument/2006/relationships/hyperlink" Target="consultantplus://offline/ref=36965D7B2E0C84C6FB26697DF00CCE98707BC899214F6CEB265CFCC1DE0752CDB588E272F9CF013FF388A4y2B0K" TargetMode="External"/><Relationship Id="rId13" Type="http://schemas.openxmlformats.org/officeDocument/2006/relationships/hyperlink" Target="consultantplus://offline/ref=36965D7B2E0C84C6FB267770E660929D76789191281D30BC2C56A9y9B9K" TargetMode="External"/><Relationship Id="rId14" Type="http://schemas.openxmlformats.org/officeDocument/2006/relationships/hyperlink" Target="consultantplus://offline/ref=36965D7B2E0C84C6FB267770E660929D75779196264F67BE7D03A79C89y0BEK" TargetMode="External"/><Relationship Id="rId15" Type="http://schemas.openxmlformats.org/officeDocument/2006/relationships/hyperlink" Target="consultantplus://offline/ref=36965D7B2E0C84C6FB26697DF00CCE98707BC899214F6CEB265CFCC1DE0752CDyBB5K" TargetMode="External"/><Relationship Id="rId16" Type="http://schemas.openxmlformats.org/officeDocument/2006/relationships/hyperlink" Target="consultantplus://offline/ref=36965D7B2E0C84C6FB26697DF00CCE98707BC899254865EC275CFCC1DE0752CDB588E272F9CF013FF18AA1y2BAK" TargetMode="External"/><Relationship Id="rId17" Type="http://schemas.openxmlformats.org/officeDocument/2006/relationships/hyperlink" Target="consultantplus://offline/ref=36965D7B2E0C84C6FB26697DF00CCE98707BC899254865EC275CFCC1DE0752CDyBB5K" TargetMode="External"/><Relationship Id="rId18" Type="http://schemas.openxmlformats.org/officeDocument/2006/relationships/hyperlink" Target="consultantplus://offline/ref=36965D7B2E0C84C6FB267770E660929D76789191281D30BC2C56A9y9B9K" TargetMode="External"/><Relationship Id="rId19" Type="http://schemas.openxmlformats.org/officeDocument/2006/relationships/hyperlink" Target="consultantplus://offline/ref=36965D7B2E0C84C6FB267770E660929D75779196264267BE7D03A79C890E589AF2C7BB30B5yCB4K" TargetMode="External"/><Relationship Id="rId20" Type="http://schemas.openxmlformats.org/officeDocument/2006/relationships/hyperlink" Target="consultantplus://offline/ref=36965D7B2E0C84C6FB267770E660929D75779196264F67BE7D03A79C89y0BEK" TargetMode="External"/><Relationship Id="rId21" Type="http://schemas.openxmlformats.org/officeDocument/2006/relationships/hyperlink" Target="consultantplus://offline/ref=36965D7B2E0C84C6FB26697DF00CCE98707BC899254865EC275CFCC1DE0752CDyBB5K" TargetMode="External"/><Relationship Id="rId22" Type="http://schemas.openxmlformats.org/officeDocument/2006/relationships/hyperlink" Target="consultantplus://offline/ref=36965D7B2E0C84C6FB267770E660929D76789191281D30BC2C56A9y9B9K" TargetMode="External"/><Relationship Id="rId23" Type="http://schemas.openxmlformats.org/officeDocument/2006/relationships/hyperlink" Target="consultantplus://offline/ref=36965D7B2E0C84C6FB26697DF00CCE98707BC899254865EC275CFCC1DE0752CDyBB5K" TargetMode="External"/><Relationship Id="rId24" Type="http://schemas.openxmlformats.org/officeDocument/2006/relationships/hyperlink" Target="consultantplus://offline/ref=36965D7B2E0C84C6FB26697DF00CCE98707BC899214F6CEB265CFCC1DE0752CDB588E272F9CF013FF389A7y2BFK" TargetMode="External"/><Relationship Id="rId25" Type="http://schemas.openxmlformats.org/officeDocument/2006/relationships/hyperlink" Target="consultantplus://offline/ref=36965D7B2E0C84C6FB267770E660929D76789191281D30BC2C56A9y9B9K" TargetMode="External"/><Relationship Id="rId26" Type="http://schemas.openxmlformats.org/officeDocument/2006/relationships/hyperlink" Target="consultantplus://offline/ref=36965D7B2E0C84C6FB26697DF00CCE98707BC899264E6BE1265CFCC1DE0752CDyBB5K" TargetMode="External"/><Relationship Id="rId27" Type="http://schemas.openxmlformats.org/officeDocument/2006/relationships/hyperlink" Target="consultantplus://offline/ref=36965D7B2E0C84C6FB267770E660929D75779196264F67BE7D03A79C89y0BEK" TargetMode="External"/><Relationship Id="rId28" Type="http://schemas.openxmlformats.org/officeDocument/2006/relationships/hyperlink" Target="consultantplus://offline/ref=36965D7B2E0C84C6FB267770E660929D75779491264867BE7D03A79C89y0BEK" TargetMode="External"/><Relationship Id="rId29" Type="http://schemas.openxmlformats.org/officeDocument/2006/relationships/hyperlink" Target="consultantplus://offline/ref=044D5261D4C39E8210906B11CAD285B1FDA9E5D482423599011AF7D8A6z5BEK" TargetMode="External"/><Relationship Id="rId30" Type="http://schemas.openxmlformats.org/officeDocument/2006/relationships/hyperlink" Target="consultantplus://offline/ref=044D5261D4C39E8210906B11CAD285B1FDA9E0D783463599011AF7D8A6z5BEK" TargetMode="External"/><Relationship Id="rId31" Type="http://schemas.openxmlformats.org/officeDocument/2006/relationships/hyperlink" Target="consultantplus://offline/ref=044D5261D4C39E8210906B11CAD285B1FDA9E0D785403599011AF7D8A6z5BEK" TargetMode="External"/><Relationship Id="rId32" Type="http://schemas.openxmlformats.org/officeDocument/2006/relationships/hyperlink" Target="consultantplus://offline/ref=044D5261D4C39E8210906B11CAD285B1FDA9E0D783463599011AF7D8A6z5BEK" TargetMode="External"/><Relationship Id="rId33" Type="http://schemas.openxmlformats.org/officeDocument/2006/relationships/hyperlink" Target="consultantplus://offline/ref=044D5261D4C39E8210906B11CAD285B1FDA9E5D083413599011AF7D8A6z5BEK" TargetMode="External"/><Relationship Id="rId34" Type="http://schemas.openxmlformats.org/officeDocument/2006/relationships/hyperlink" Target="consultantplus://offline/ref=044D5261D4C39E8210906B11CAD285B1FDA9E5D0834C3599011AF7D8A6z5BEK" TargetMode="External"/><Relationship Id="rId35" Type="http://schemas.openxmlformats.org/officeDocument/2006/relationships/hyperlink" Target="consultantplus://offline/ref=044D5261D4C39E821090751CDCBED9B4F8A5BCDF804637CB5B45AC85F1575D2Bz2B5K" TargetMode="External"/><Relationship Id="rId36" Type="http://schemas.openxmlformats.org/officeDocument/2006/relationships/hyperlink" Target="consultantplus://offline/ref=044D5261D4C39E821090751CDCBED9B4F8A5BCDF84413ECC5A45AC85F1575D2Bz2B5K" TargetMode="External"/><Relationship Id="rId37" Type="http://schemas.openxmlformats.org/officeDocument/2006/relationships/hyperlink" Target="consultantplus://offline/ref=044D5261D4C39E8210906B11CAD285B1FDA9EAD183413599011AF7D8A6z5BEK" TargetMode="External"/><Relationship Id="rId38" Type="http://schemas.openxmlformats.org/officeDocument/2006/relationships/hyperlink" Target="consultantplus://offline/ref=044D5261D4C39E8210906B11CAD285B1FDA9E0D783463599011AF7D8A6z5BEK" TargetMode="External"/><Relationship Id="rId39" Type="http://schemas.openxmlformats.org/officeDocument/2006/relationships/hyperlink" Target="consultantplus://offline/ref=044D5261D4C39E8210906B11CAD285B1FDA9E5D4824C3599011AF7D8A6z5BEK" TargetMode="External"/><Relationship Id="rId40" Type="http://schemas.openxmlformats.org/officeDocument/2006/relationships/hyperlink" Target="consultantplus://offline/ref=044D5261D4C39E8210906B11CAD285B1FDA9E5D083413599011AF7D8A65E577C62D9BCB46986AFCDz8B6K" TargetMode="External"/><Relationship Id="rId41" Type="http://schemas.openxmlformats.org/officeDocument/2006/relationships/hyperlink" Target="consultantplus://offline/ref=044D5261D4C39E8210906B11CAD285B1FDA9E5D083413599011AF7D8A65E577C62D9BCB46986AEC4z8B0K" TargetMode="External"/><Relationship Id="rId42" Type="http://schemas.openxmlformats.org/officeDocument/2006/relationships/hyperlink" Target="consultantplus://offline/ref=044D5261D4C39E8210906B11CAD285B1FDA9E5D083413599011AF7D8A65E577C62D9BCB46986ADCCz8BDK" TargetMode="External"/><Relationship Id="rId43" Type="http://schemas.openxmlformats.org/officeDocument/2006/relationships/hyperlink" Target="consultantplus://offline/ref=044D5261D4C39E8210906B11CAD285B1FDA9E5D083413599011AF7D8A65E577C62D9BCB1z6B8K" TargetMode="External"/><Relationship Id="rId44" Type="http://schemas.openxmlformats.org/officeDocument/2006/relationships/hyperlink" Target="consultantplus://offline/ref=044D5261D4C39E8210906B11CAD285B1FEA6E5D78D13629B504FF9zDBDK" TargetMode="External"/><Relationship Id="rId45" Type="http://schemas.openxmlformats.org/officeDocument/2006/relationships/hyperlink" Target="consultantplus://offline/ref=044D5261D4C39E8210906B11CAD285B1FEA6E5D78D13629B504FF9zDBDK" TargetMode="External"/><Relationship Id="rId46" Type="http://schemas.openxmlformats.org/officeDocument/2006/relationships/hyperlink" Target="consultantplus://offline/ref=044D5261D4C39E8210906B11CAD285B1FEA6E5D78D13629B504FF9zDBDK" TargetMode="External"/><Relationship Id="rId47" Type="http://schemas.openxmlformats.org/officeDocument/2006/relationships/hyperlink" Target="consultantplus://offline/ref=044D5261D4C39E8210906B11CAD285B1FEA6E5D78D13629B504FF9zDBDK" TargetMode="External"/><Relationship Id="rId48" Type="http://schemas.openxmlformats.org/officeDocument/2006/relationships/hyperlink" Target="consultantplus://offline/ref=044D5261D4C39E8210906B11CAD285B1FEA6E5D78D13629B504FF9zDBDK"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Р7-Офис/2025.3.1.923</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народных депутатов Анжеро-Судженского городского округа от 26.03.2015 N 339&amp;quot;О муниципальной службе в органах местного самоуправления Анжеро-Судженского городского округа&amp;quot;(принято Советом народных депутатов Анжеро-Судженского городского округа 26.03.2015)</dc:title>
  <dc:creator>ConsultantPlus</dc:creator>
  <cp:lastModifiedBy>panty</cp:lastModifiedBy>
  <cp:revision>1</cp:revision>
  <dcterms:modified xsi:type="dcterms:W3CDTF">2025-10-22T11:58:46Z</dcterms:modified>
</cp:coreProperties>
</file>