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896"/>
        <w:gridCol w:w="4680"/>
        <w:gridCol w:w="45"/>
        <w:gridCol w:w="50"/>
        <w:gridCol w:w="2835"/>
        <w:gridCol w:w="58"/>
        <w:gridCol w:w="84"/>
        <w:gridCol w:w="1984"/>
      </w:tblGrid>
      <w:tr>
        <w:tblPrEx/>
        <w:trPr>
          <w:trHeight w:val="875"/>
        </w:trPr>
        <w:tc>
          <w:tcPr>
            <w:gridSpan w:val="8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tcW w:w="10632" w:type="dxa"/>
            <w:textDirection w:val="lrTb"/>
            <w:noWrap w:val="false"/>
          </w:tcPr>
          <w:p>
            <w:pPr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Приложение №1</w:t>
            </w:r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</w:r>
          </w:p>
          <w:p>
            <w:pPr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(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к  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распоряжени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ю от 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.12.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4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 №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28</w:t>
            </w: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</w:r>
          </w:p>
          <w:p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eastAsia="Arial" w:cs="Arial"/>
                <w:bCs/>
                <w:color w:val="000000"/>
              </w:rPr>
            </w:r>
            <w:r>
              <w:rPr>
                <w:rFonts w:ascii="Arial" w:hAnsi="Arial" w:cs="Arial"/>
                <w:bCs/>
                <w:color w:val="000000"/>
              </w:rPr>
            </w:r>
          </w:p>
        </w:tc>
      </w:tr>
      <w:tr>
        <w:tblPrEx/>
        <w:trPr>
          <w:trHeight w:val="676"/>
        </w:trPr>
        <w:tc>
          <w:tcPr>
            <w:gridSpan w:val="8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tcW w:w="10632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8"/>
                <w:szCs w:val="28"/>
              </w:rPr>
              <w:t xml:space="preserve">План деятельности Контрольно-счетной палаты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</w:p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8"/>
                <w:szCs w:val="28"/>
              </w:rPr>
              <w:t xml:space="preserve">Анжеро-Судженского городского округа на 20</w:t>
            </w:r>
            <w:r>
              <w:rPr>
                <w:rFonts w:ascii="Arial" w:hAnsi="Arial" w:eastAsia="Arial" w:cs="Arial"/>
                <w:b/>
                <w:bCs/>
                <w:color w:val="000000"/>
                <w:sz w:val="28"/>
                <w:szCs w:val="28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  <w:sz w:val="28"/>
                <w:szCs w:val="28"/>
              </w:rPr>
              <w:t xml:space="preserve">5</w:t>
            </w:r>
            <w:r>
              <w:rPr>
                <w:rFonts w:ascii="Arial" w:hAnsi="Arial" w:eastAsia="Arial" w:cs="Arial"/>
                <w:b/>
                <w:bCs/>
                <w:color w:val="000000"/>
                <w:sz w:val="28"/>
                <w:szCs w:val="28"/>
              </w:rPr>
              <w:t xml:space="preserve"> год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</w:p>
        </w:tc>
      </w:tr>
      <w:tr>
        <w:tblPrEx/>
        <w:trPr>
          <w:trHeight w:val="64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2"/>
                <w:szCs w:val="22"/>
              </w:rPr>
              <w:t xml:space="preserve">№ п/п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2"/>
                <w:szCs w:val="22"/>
              </w:rPr>
              <w:t xml:space="preserve">Наименование контрольного мероприятия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2"/>
                <w:szCs w:val="22"/>
              </w:rPr>
              <w:t xml:space="preserve">Основание для включения в план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sz w:val="22"/>
                <w:szCs w:val="22"/>
              </w:rPr>
              <w:t xml:space="preserve">Срок исполнения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330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color w:val="000000"/>
                <w:sz w:val="28"/>
                <w:szCs w:val="28"/>
              </w:rPr>
              <w:t xml:space="preserve">1.</w:t>
            </w:r>
            <w:r>
              <w:rPr>
                <w:rFonts w:ascii="Arial" w:hAnsi="Arial" w:cs="Arial"/>
                <w:b/>
                <w:bCs/>
                <w:i/>
                <w:color w:val="000000"/>
                <w:sz w:val="28"/>
                <w:szCs w:val="28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Экспертно-аналитическ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ие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 мероприятия</w:t>
            </w:r>
            <w:r>
              <w:rPr>
                <w:rFonts w:ascii="Arial" w:hAnsi="Arial" w:cs="Arial"/>
                <w:i/>
                <w:iCs/>
                <w:color w:val="000000"/>
                <w:sz w:val="28"/>
                <w:szCs w:val="28"/>
              </w:rPr>
            </w:r>
          </w:p>
        </w:tc>
      </w:tr>
      <w:tr>
        <w:tblPrEx/>
        <w:trPr>
          <w:trHeight w:val="56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1.1.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Контроль за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 исполнением бюджета Анжеро-Судженского городского округа за 20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4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 год (последующий контроль)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</w:tr>
      <w:tr>
        <w:tblPrEx/>
        <w:trPr>
          <w:trHeight w:val="1068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1.1.1.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Внешняя проверка годовой бюджетной отчетности главных администраторов средств бюджета Анжеро-Судженского городского округа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ст. 264.4 БК РФ, 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 полугодие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905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1.1.2.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Внешняя проверка годового отчета об исполнении бюджета Анжеро-Судженского городского округа за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год и подготовка заключения на годовой отчет об исполнении бюджета  за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год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ст. 264.4 БК РФ, 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 полугодие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718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1.2.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Контроль за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исполнением бюджета Анжеро-Судженского городского округа на 20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5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год (текущий контроль)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</w:tr>
      <w:tr>
        <w:tblPrEx/>
        <w:trPr>
          <w:trHeight w:val="68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1.2.1.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Подготовка заключений по результатам проверки достоверности, полноты и соответствия нормативным требованиям составления и представления отчета об исполнении бюджета город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ского округа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за 1 квартал, 1 полугодие, 9 месяцев 20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5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года,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подготовка заключений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ежеквартально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8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1.2.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Мониторинг исполнения муниципальных программ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vAlign w:val="center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ежеквартально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8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1.2.3.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vAlign w:val="center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Экспертиза и подготовка заключений на проекты решений Совета народных депутатов Анжеро-Судженского городского округа на внесение изменений в решения Совета народных депутатов о бюджете на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5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год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и плановый период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-20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7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гг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vAlign w:val="center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718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1.3.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Контроль за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формированием бюджета Анжеро-Судженского городского округа на 20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6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год и на плановый период  20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7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-20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2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8</w:t>
            </w: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 годов (предварительный контроль)</w:t>
            </w:r>
            <w:r>
              <w:rPr>
                <w:rFonts w:ascii="Arial" w:hAnsi="Arial" w:cs="Arial"/>
                <w:b/>
                <w:bCs/>
                <w:color w:val="000000"/>
              </w:rPr>
            </w:r>
          </w:p>
        </w:tc>
      </w:tr>
      <w:tr>
        <w:tblPrEx/>
        <w:trPr>
          <w:trHeight w:val="739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1.3.1.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Экспертиза муниципальных программ,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планируемых к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финансир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ованию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за счет средств бюджета Анжеро-Судженского городского округа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2026-2028 гг.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и подготовка заключений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 полугодие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905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1.3.2.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Экспертиза и подготовка заключения на проект решения  Совета народных депутатов о бюджете Анжеро-Судженского городского округа на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год и на плановый период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7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и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8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годов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 полугодие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354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1.4.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</w:rPr>
              <w:t xml:space="preserve">Контроль, осуществляемый по другим  направлениям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41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1.4.1</w:t>
            </w:r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Подготовка заключений на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проект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ы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р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ешений  Совета народных депутатов и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на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ины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е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правовы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е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акт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ы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город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ского  округа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, в рамках компетенции Контрольно-счетной палаты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 предоставлению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Cs/>
                <w:color w:val="000000"/>
                <w:sz w:val="22"/>
                <w:szCs w:val="22"/>
              </w:rPr>
              <w:t xml:space="preserve">1.4.2</w:t>
            </w:r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Подготовка предложений о приведении  в соответствие с действующим законодательством муниципальных правовых актов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88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 мере необходимости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172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000000"/>
                <w:sz w:val="28"/>
                <w:szCs w:val="28"/>
              </w:rPr>
              <w:t xml:space="preserve">2.</w:t>
            </w:r>
            <w:r>
              <w:rPr>
                <w:rFonts w:ascii="Arial" w:hAnsi="Arial" w:cs="Arial"/>
                <w:b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Контрольные мероприятия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1880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4680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Cs/>
              </w:rPr>
              <w:t xml:space="preserve">Проверка </w:t>
            </w:r>
            <w:r>
              <w:rPr>
                <w:rFonts w:ascii="Arial" w:hAnsi="Arial" w:eastAsia="Arial" w:cs="Arial"/>
                <w:bCs/>
              </w:rPr>
              <w:t xml:space="preserve">соблюдения порядка ведения р</w:t>
            </w:r>
            <w:r>
              <w:rPr>
                <w:rFonts w:ascii="Arial" w:hAnsi="Arial" w:eastAsia="Arial" w:cs="Arial"/>
                <w:bCs/>
              </w:rPr>
              <w:t xml:space="preserve">еестра муниципального имущества</w:t>
            </w:r>
            <w:r>
              <w:rPr>
                <w:rFonts w:ascii="Arial" w:hAnsi="Arial" w:eastAsia="Arial" w:cs="Arial"/>
                <w:bCs/>
              </w:rPr>
              <w:t xml:space="preserve"> </w:t>
            </w:r>
            <w:r>
              <w:rPr>
                <w:rFonts w:ascii="Arial" w:hAnsi="Arial" w:eastAsia="Arial" w:cs="Arial"/>
                <w:bCs/>
              </w:rPr>
              <w:t xml:space="preserve">в рамках </w:t>
            </w:r>
            <w:r>
              <w:rPr>
                <w:rFonts w:ascii="Arial" w:hAnsi="Arial" w:eastAsia="Arial" w:cs="Arial"/>
                <w:bCs/>
              </w:rPr>
              <w:t xml:space="preserve">реализации </w:t>
            </w:r>
            <w:r>
              <w:rPr>
                <w:rFonts w:ascii="Arial" w:hAnsi="Arial" w:eastAsia="Arial" w:cs="Arial"/>
                <w:bCs/>
              </w:rPr>
              <w:t xml:space="preserve">муниципальной программы </w:t>
            </w:r>
            <w:r>
              <w:rPr>
                <w:rFonts w:ascii="Arial" w:hAnsi="Arial" w:eastAsia="Arial" w:cs="Arial"/>
                <w:bCs/>
              </w:rPr>
              <w:t xml:space="preserve">«</w:t>
            </w:r>
            <w:r>
              <w:rPr>
                <w:rFonts w:ascii="Arial" w:hAnsi="Arial" w:eastAsia="Arial" w:cs="Arial"/>
              </w:rPr>
              <w:t xml:space="preserve">Повышение эффективности управления муниципальной собственностью Анжеро-Судженского городского округа» на 2022-2026 годы»</w:t>
            </w:r>
            <w:r>
              <w:rPr>
                <w:rFonts w:ascii="Arial" w:hAnsi="Arial" w:eastAsia="Arial" w:cs="Arial"/>
              </w:rPr>
            </w:r>
          </w:p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930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1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-2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полугодие 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blPrEx/>
        <w:trPr>
          <w:trHeight w:val="1880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4680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eastAsia="Arial" w:cs="Arial"/>
                <w:bCs/>
              </w:rPr>
              <w:t xml:space="preserve">Проверка полноты и правильности учета имущества казны в рамках </w:t>
            </w:r>
            <w:r>
              <w:rPr>
                <w:rFonts w:ascii="Arial" w:hAnsi="Arial" w:eastAsia="Arial" w:cs="Arial"/>
                <w:bCs/>
              </w:rPr>
              <w:t xml:space="preserve">реализации </w:t>
            </w:r>
            <w:r>
              <w:rPr>
                <w:rFonts w:ascii="Arial" w:hAnsi="Arial" w:eastAsia="Arial" w:cs="Arial"/>
                <w:bCs/>
              </w:rPr>
              <w:t xml:space="preserve">муниципальной программы </w:t>
            </w:r>
            <w:r>
              <w:rPr>
                <w:rFonts w:ascii="Arial" w:hAnsi="Arial" w:eastAsia="Arial" w:cs="Arial"/>
                <w:bCs/>
              </w:rPr>
              <w:t xml:space="preserve">«</w:t>
            </w:r>
            <w:r>
              <w:rPr>
                <w:rFonts w:ascii="Arial" w:hAnsi="Arial" w:eastAsia="Arial" w:cs="Arial"/>
              </w:rPr>
              <w:t xml:space="preserve">Повышение эффективности управления муниципальной собственностью Анжеро-Судженского городского округа» на 2022-2026 годы»</w:t>
            </w:r>
            <w:r>
              <w:rPr>
                <w:rFonts w:ascii="Arial" w:hAnsi="Arial" w:cs="Arial"/>
                <w:bCs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930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2 полугодие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blPrEx/>
        <w:trPr>
          <w:trHeight w:val="124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2.3</w:t>
            </w:r>
            <w:bookmarkStart w:id="0" w:name="_GoBack"/>
            <w:r>
              <w:rPr>
                <w:rFonts w:ascii="Arial" w:hAnsi="Arial" w:eastAsia="Arial" w:cs="Arial"/>
              </w:rPr>
            </w:r>
            <w:bookmarkEnd w:id="0"/>
            <w:r>
              <w:rPr>
                <w:rFonts w:ascii="Arial" w:hAnsi="Arial" w:eastAsia="Arial" w:cs="Arial"/>
              </w:rPr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4680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eastAsia="Arial" w:cs="Arial"/>
                <w:bCs/>
              </w:rPr>
              <w:t xml:space="preserve">Проверка  соблюдения установленного порядка управления и распоряжения имуществом, находящимся в муниципальной собственности </w:t>
            </w:r>
            <w:r>
              <w:rPr>
                <w:rFonts w:ascii="Arial" w:hAnsi="Arial" w:eastAsia="Arial" w:cs="Arial"/>
                <w:bCs/>
              </w:rPr>
              <w:t xml:space="preserve">отдельными муниципальными</w:t>
            </w:r>
            <w:r>
              <w:rPr>
                <w:rFonts w:ascii="Arial" w:hAnsi="Arial" w:eastAsia="Arial" w:cs="Arial"/>
                <w:bCs/>
              </w:rPr>
              <w:t xml:space="preserve"> учреждениями </w:t>
            </w:r>
            <w:r>
              <w:rPr>
                <w:rFonts w:ascii="Arial" w:hAnsi="Arial" w:eastAsia="Arial" w:cs="Arial"/>
                <w:bCs/>
              </w:rPr>
              <w:t xml:space="preserve">Анжеро-Судженского городского округа за 2024 год.</w:t>
            </w:r>
            <w:r>
              <w:rPr>
                <w:rFonts w:ascii="Arial" w:hAnsi="Arial" w:cs="Arial"/>
                <w:bCs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930" w:type="dxa"/>
            <w:textDirection w:val="lrTb"/>
            <w:noWrap w:val="false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ч. 2 ст. 9 Федерального закона 6 –ФЗ,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eastAsia="Arial" w:cs="Arial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tcW w:w="212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2 полугодие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3.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000000"/>
                <w:sz w:val="28"/>
                <w:szCs w:val="28"/>
              </w:rPr>
              <w:t xml:space="preserve">Обеспечение деятельности Контрольно-счетной палаты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8"/>
                <w:szCs w:val="28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Внесение изменений в правовые акты Контрольно-счетной палаты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 необходимости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Подготовка соглашений о сотрудничестве и взаимодействии в соответствии со ст. 19 Положения о Контрольно-счетной палате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 необходимости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3.3.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Ведение кадровой работы в соответствии с требованиями действующего законодательства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ТК РФ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3.4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Проведение комплекса мер по охране труда и технике безопасности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, гражданской обороне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в Контрольно-счетной палате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ТК РФ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Организация и ведение делопроизводства в Контрольно-счетной палате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Распоряжение председателя от 30.12.2011 №17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Подготовка плана работы Контрольно-счетной палаты Анжеро-Судженского городского округа на  202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год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 квартал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Подготовка и размещение на сайте информации о деятельности Контрольно-счетной палаты Анжеро-Судженского городского округа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Ст. 13,14 Федерального закона от 09.02.2009 № 8-ФЗ «Об обеспечении доступа к информации о деятельности государственных органов и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органов местного самоуправления»,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96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Участие в работе комитетов, слушаниях, сессиях   Совета народных депутатов Анжеро-Судженского городского округа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, совещаниях главы городского округа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708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Участие в работе Совета контрольно-счетных органов Кемеровской области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-Кузбасса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 приглашению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739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Изучение практического опыта работы контрольных финансовых органов Российской Федерации в сфере финансового контроля, в том числе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участие в деятельности ассоциаций и других объединений органов финансового контроля (в качестве члена, ассоциированного члена, присоединившегося участника и т.п.), семинарах, конференциях и иных мероприятиях контрольно-счетных органов Российской Федерации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Приглашение организаторов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65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Рассмотрение писем, обращений и других документов, поступающих в Контрольно-счетную палату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30 дней со дня регистрации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Организация профессионального развития, подготовки, переподготовки и повышения квалификации работников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К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онтрольно-счетной палаты, участия в семинарах, конференциях и иных мероприятиях, проводимых контрольно-счетными органами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Приглашение организаторов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Анализ информации о результатах выполнения предложений и рекомендаций, данных в заключениях, отчетах и информациях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К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онтрольно-счетной палаты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Подготовка и представление в Совет народных депутатов отчета о деятельности Контрольно-счетной палаты за 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год.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не позднее 1 квартала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3.15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Заключение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муниципальных контрактов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на 202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5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 год и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контроль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за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их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исполн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ением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по обеспечению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эффективной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работы Контрольно-счетной палаты.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Размещение документации в соответствии с требованиями Федерального закона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От 05.04.13 г. N 44-ФЗ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"О контрактной системе в сфере закупок товаров, работ, услуг для обеспечения государственных и муниципальных нужд  размещения заказов на поставку товаров,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выполнение работ, оказание услуг для обеспечения государственных и муниципальных нужд»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Ст.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 Федерального закона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от 05.04.13 г. N 44-ФЗ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«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О контрактной системе в сфере закупок товаров, работ, услуг для обеспечения государственных и муниципальных нужд»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Разработка и утверждение номенклатуры дел Контрольно-счетной палаты  на 202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6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 год.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Регламент Контрольно-счетной палаты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 квартал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Style w:val="660"/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Организация работы по ведению бухгалтерского учета в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Контрольно-счетной палат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</w:t>
            </w:r>
            <w:r>
              <w:rPr>
                <w:rStyle w:val="660"/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, подготовка и сдача бюджетной отчетности, составление и исполнение </w:t>
            </w:r>
            <w:r>
              <w:rPr>
                <w:rStyle w:val="660"/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бюджетной сметы 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Контрольно-счетной палаты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.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Федеральный закон от 06.12.2011 N 402-ФЗ (ред. от 04.11.2014) "О бухгалтерском учете"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3.1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Подготовка и сдача отчетности в ФСС, органы статистики и ИФНС.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Ведение персонифицированного учета, сдача отчетности по страховым взносам на обязательное пенсионное и медицинское страхование в Пенсионный Фонд РФ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.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Федеральный закон от 06.12.2011 N 402-ФЗ (ред. от 04.11.2014) "О бухгалтерском уч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ете"</w:t>
            </w:r>
            <w:r>
              <w:rPr>
                <w:rFonts w:ascii="Arial" w:hAnsi="Arial" w:cs="Arial"/>
                <w:sz w:val="22"/>
                <w:szCs w:val="22"/>
              </w:rPr>
            </w:r>
          </w:p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ежеквартально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Организация и проведение мероприятий по внутреннему 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финансовому аудиту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Статья 160.2-1  Бюджетного кодекса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РФ, приказа Минфина России от 01.09.2021 N 120н «Об утверждении федерального стандарта внутреннего финансового аудита «Осуществление внутреннего финансового аудита в целях подтверждения достоверности бюджетной отчетности и соответствия порядка ведения бюдж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етного учета единой методологии бюджетного учета, составления, представления и утверждения бюджетной отчетности» и о внесении изменений в некоторые приказы Министерства финансов Российской Федерации по вопросам осуществления внутреннего финансового аудита»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Организация защиты сведений конфиденциального характера (персональных данных)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Федеральный закон от 27.07.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20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06г. №152 «О персональных данных»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Осуществление мероприятий по противодействию коррупции в соответствии планом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противодействия коррупции в 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Контрольно-счетной палате на 2025 год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Ст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.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13.3 Федерального закона от 25.12.2008 273-ФЗ «О противодействии коррупции», п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.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12 ч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.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2 ст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.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9  Федерального закона от 07.02.2011 № 6-ФЗ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3.2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25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Разработка методических рекомендаций, стандартов деятельности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, регламента</w:t>
            </w:r>
            <w:r>
              <w:rPr>
                <w:rFonts w:ascii="Arial" w:hAnsi="Arial" w:eastAsia="Arial" w:cs="Arial"/>
                <w:sz w:val="22"/>
                <w:szCs w:val="22"/>
                <w:shd w:val="clear" w:color="auto" w:fill="ffffff"/>
              </w:rPr>
              <w:t xml:space="preserve"> КСП АСГО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43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068" w:type="dxa"/>
            <w:textDirection w:val="lrTb"/>
            <w:noWrap w:val="false"/>
          </w:tcPr>
          <w:p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в течение года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 по мере необходимости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color w:val="000000"/>
                <w:sz w:val="28"/>
                <w:szCs w:val="28"/>
              </w:rPr>
              <w:t xml:space="preserve">4.</w:t>
            </w:r>
            <w:r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r>
          </w:p>
        </w:tc>
        <w:tc>
          <w:tcPr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973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color w:val="000000"/>
                <w:sz w:val="28"/>
                <w:szCs w:val="28"/>
              </w:rPr>
              <w:t xml:space="preserve">Взаимодействие с другими органами</w:t>
            </w:r>
            <w:r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4.1</w:t>
            </w:r>
            <w:r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75" w:type="dxa"/>
            <w:textDirection w:val="lrTb"/>
            <w:noWrap w:val="false"/>
          </w:tcPr>
          <w:p>
            <w:pPr>
              <w:pStyle w:val="669"/>
              <w:jc w:val="both"/>
              <w:rPr>
                <w:rFonts w:ascii="Arial" w:hAnsi="Arial" w:cs="Arial"/>
                <w:b/>
                <w:i/>
                <w:sz w:val="28"/>
                <w:szCs w:val="28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Взаимодействие с контрольно-счетными органами субъектов Российской Федерации и муниципальных образований, Счетной палатой Российской Федерации. Участие в работе Союза Контрольно-счётных органов Российской Федерации, 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представительства Союза 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Контрольно-счётных органов Российской Федерации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в Сибирском Федеральном округе.</w:t>
            </w:r>
            <w:r>
              <w:rPr>
                <w:rFonts w:ascii="Arial" w:hAnsi="Arial" w:cs="Arial"/>
                <w:b/>
                <w:i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с</w:t>
            </w: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т. 18 Федерального закона от 07.02.2011</w:t>
            </w:r>
            <w:r>
              <w:rPr>
                <w:rFonts w:ascii="Arial" w:hAnsi="Arial" w:eastAsia="Arial" w:cs="Arial"/>
                <w:sz w:val="22"/>
                <w:szCs w:val="22"/>
              </w:rPr>
              <w:t xml:space="preserve"> № 6-ФЗ</w:t>
            </w:r>
            <w:r>
              <w:rPr>
                <w:rFonts w:ascii="Arial" w:hAnsi="Arial" w:cs="Arial"/>
                <w:b/>
                <w:i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1984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eastAsia="Arial" w:cs="Arial"/>
                <w:color w:val="000000"/>
              </w:rPr>
              <w:t xml:space="preserve">постоянно</w:t>
            </w:r>
            <w:r>
              <w:rPr>
                <w:rFonts w:ascii="Arial" w:hAnsi="Arial" w:cs="Arial"/>
                <w:color w:val="000000"/>
              </w:rPr>
            </w:r>
          </w:p>
        </w:tc>
      </w:tr>
      <w:tr>
        <w:tblPrEx/>
        <w:trPr>
          <w:trHeight w:val="98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75" w:type="dxa"/>
            <w:textDirection w:val="lrTb"/>
            <w:noWrap w:val="false"/>
          </w:tcPr>
          <w:p>
            <w:pPr>
              <w:pStyle w:val="669"/>
              <w:jc w:val="both"/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Ис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полнение 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требований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прокуратуры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города,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предоставление специалистов КСП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АСГО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 по запросу правоохранительных органов </w:t>
            </w:r>
            <w:r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r>
          </w:p>
          <w:p>
            <w:pPr>
              <w:pStyle w:val="669"/>
              <w:jc w:val="both"/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</w:r>
            <w:r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77" w:type="dxa"/>
            <w:textDirection w:val="lrTb"/>
            <w:noWrap w:val="false"/>
          </w:tcPr>
          <w:p>
            <w:pPr>
              <w:pStyle w:val="654"/>
              <w:spacing w:before="161" w:after="161"/>
              <w:shd w:val="clear" w:color="auto" w:fill="ffffff"/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000000"/>
                <w:sz w:val="22"/>
                <w:szCs w:val="22"/>
              </w:rPr>
              <w:t xml:space="preserve">Ст.22 Федерального закона от 17.01.1992 N 2202-1 </w:t>
            </w:r>
            <w:r>
              <w:rPr>
                <w:rFonts w:ascii="Arial" w:hAnsi="Arial" w:eastAsia="Arial" w:cs="Arial"/>
                <w:b w:val="0"/>
                <w:bCs w:val="0"/>
                <w:color w:val="000000"/>
                <w:sz w:val="22"/>
                <w:szCs w:val="22"/>
              </w:rPr>
              <w:t xml:space="preserve">«О прокуратуре»</w:t>
            </w:r>
            <w: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1984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eastAsia="Arial" w:cs="Arial"/>
                <w:color w:val="000000"/>
              </w:rPr>
              <w:t xml:space="preserve">по мере поступления требований, запросов</w:t>
            </w:r>
            <w:r>
              <w:rPr>
                <w:rFonts w:ascii="Arial" w:hAnsi="Arial" w:cs="Arial"/>
                <w:color w:val="000000"/>
              </w:rPr>
            </w:r>
          </w:p>
        </w:tc>
      </w:tr>
      <w:tr>
        <w:tblPrEx/>
        <w:trPr>
          <w:trHeight w:val="533"/>
        </w:trPr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896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 xml:space="preserve">4.3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4775" w:type="dxa"/>
            <w:textDirection w:val="lrTb"/>
            <w:noWrap w:val="false"/>
          </w:tcPr>
          <w:p>
            <w:pPr>
              <w:pStyle w:val="669"/>
              <w:jc w:val="both"/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Выполнение поручений, предложений и запросов 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  <w:t xml:space="preserve">Совета народных депутатов Анжеро-Судженского городского округа, главы городского округа</w:t>
            </w:r>
            <w:r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r>
          </w:p>
          <w:p>
            <w:pPr>
              <w:pStyle w:val="669"/>
              <w:jc w:val="both"/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  <w:shd w:val="clear" w:color="auto" w:fill="ffffff"/>
                <w:lang w:eastAsia="ru-RU"/>
              </w:rPr>
            </w:r>
            <w:r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</w:rPr>
            </w:r>
          </w:p>
        </w:tc>
        <w:tc>
          <w:tcPr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2977" w:type="dxa"/>
            <w:textDirection w:val="lrTb"/>
            <w:noWrap w:val="false"/>
          </w:tcPr>
          <w:p>
            <w:pPr>
              <w:pStyle w:val="654"/>
              <w:spacing w:before="161" w:after="161"/>
              <w:shd w:val="clear" w:color="auto" w:fill="ffffff"/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000000"/>
                <w:sz w:val="22"/>
                <w:szCs w:val="22"/>
              </w:rPr>
              <w:t xml:space="preserve">Положение о Контрольно-счетной палате</w:t>
            </w:r>
            <w: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W w:w="1984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eastAsia="Arial" w:cs="Arial"/>
                <w:color w:val="000000"/>
              </w:rPr>
              <w:t xml:space="preserve">по мере поступления</w:t>
            </w:r>
            <w:r>
              <w:rPr>
                <w:rFonts w:ascii="Arial" w:hAnsi="Arial" w:cs="Arial"/>
                <w:color w:val="000000"/>
              </w:rPr>
            </w:r>
          </w:p>
        </w:tc>
      </w:tr>
    </w:tbl>
    <w:p>
      <w:r/>
      <w:r/>
    </w:p>
    <w:p>
      <w:r/>
      <w:r/>
    </w:p>
    <w:sectPr>
      <w:footnotePr/>
      <w:endnotePr/>
      <w:type w:val="nextPage"/>
      <w:pgSz w:w="11906" w:h="16838" w:orient="portrait"/>
      <w:pgMar w:top="974" w:right="851" w:bottom="1134" w:left="1134" w:header="284" w:footer="542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57"/>
    <w:link w:val="654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53"/>
    <w:next w:val="653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57"/>
    <w:link w:val="15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57"/>
    <w:link w:val="655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53"/>
    <w:next w:val="653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57"/>
    <w:link w:val="19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57"/>
    <w:link w:val="656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53"/>
    <w:next w:val="653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57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53"/>
    <w:next w:val="653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57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53"/>
    <w:next w:val="653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57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53"/>
    <w:next w:val="653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57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53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53"/>
    <w:next w:val="653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57"/>
    <w:link w:val="34"/>
    <w:uiPriority w:val="10"/>
    <w:rPr>
      <w:sz w:val="48"/>
      <w:szCs w:val="48"/>
    </w:rPr>
  </w:style>
  <w:style w:type="paragraph" w:styleId="36">
    <w:name w:val="Subtitle"/>
    <w:basedOn w:val="653"/>
    <w:next w:val="653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57"/>
    <w:link w:val="36"/>
    <w:uiPriority w:val="11"/>
    <w:rPr>
      <w:sz w:val="24"/>
      <w:szCs w:val="24"/>
    </w:rPr>
  </w:style>
  <w:style w:type="paragraph" w:styleId="38">
    <w:name w:val="Quote"/>
    <w:basedOn w:val="653"/>
    <w:next w:val="653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53"/>
    <w:next w:val="653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57"/>
    <w:link w:val="664"/>
    <w:uiPriority w:val="99"/>
  </w:style>
  <w:style w:type="character" w:styleId="45">
    <w:name w:val="Footer Char"/>
    <w:basedOn w:val="657"/>
    <w:link w:val="666"/>
    <w:uiPriority w:val="99"/>
  </w:style>
  <w:style w:type="paragraph" w:styleId="46">
    <w:name w:val="Caption"/>
    <w:basedOn w:val="653"/>
    <w:next w:val="653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57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5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5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5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57"/>
    <w:uiPriority w:val="99"/>
    <w:unhideWhenUsed/>
    <w:rPr>
      <w:vertAlign w:val="superscript"/>
    </w:rPr>
  </w:style>
  <w:style w:type="paragraph" w:styleId="178">
    <w:name w:val="endnote text"/>
    <w:basedOn w:val="65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57"/>
    <w:uiPriority w:val="99"/>
    <w:semiHidden/>
    <w:unhideWhenUsed/>
    <w:rPr>
      <w:vertAlign w:val="superscript"/>
    </w:rPr>
  </w:style>
  <w:style w:type="paragraph" w:styleId="181">
    <w:name w:val="toc 1"/>
    <w:basedOn w:val="653"/>
    <w:next w:val="65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53"/>
    <w:next w:val="65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53"/>
    <w:next w:val="65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53"/>
    <w:next w:val="65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53"/>
    <w:next w:val="65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53"/>
    <w:next w:val="65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53"/>
    <w:next w:val="65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53"/>
    <w:next w:val="65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53"/>
    <w:next w:val="65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53"/>
    <w:next w:val="653"/>
    <w:uiPriority w:val="99"/>
    <w:unhideWhenUsed/>
    <w:pPr>
      <w:spacing w:after="0" w:afterAutospacing="0"/>
    </w:pPr>
  </w:style>
  <w:style w:type="paragraph" w:styleId="653" w:default="1">
    <w:name w:val="Normal"/>
    <w:qFormat/>
    <w:rPr>
      <w:sz w:val="24"/>
      <w:szCs w:val="24"/>
    </w:rPr>
  </w:style>
  <w:style w:type="paragraph" w:styleId="654">
    <w:name w:val="Heading 1"/>
    <w:basedOn w:val="653"/>
    <w:next w:val="653"/>
    <w:link w:val="670"/>
    <w:qFormat/>
    <w:pPr>
      <w:keepLines/>
      <w:keepNext/>
      <w:spacing w:before="480"/>
      <w:outlineLvl w:val="0"/>
    </w:pPr>
    <w:rPr>
      <w:rFonts w:asciiTheme="majorHAnsi" w:hAnsiTheme="majorHAnsi" w:eastAsiaTheme="majorEastAsia" w:cstheme="majorBidi"/>
      <w:b/>
      <w:bCs/>
      <w:color w:val="2f5496" w:themeColor="accent1" w:themeShade="BF"/>
      <w:sz w:val="28"/>
      <w:szCs w:val="28"/>
    </w:rPr>
  </w:style>
  <w:style w:type="paragraph" w:styleId="655">
    <w:name w:val="Heading 3"/>
    <w:basedOn w:val="653"/>
    <w:next w:val="653"/>
    <w:link w:val="668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56">
    <w:name w:val="Heading 5"/>
    <w:basedOn w:val="653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styleId="657" w:default="1">
    <w:name w:val="Default Paragraph Font"/>
    <w:uiPriority w:val="1"/>
    <w:semiHidden/>
    <w:unhideWhenUsed/>
  </w:style>
  <w:style w:type="table" w:styleId="65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59" w:default="1">
    <w:name w:val="No List"/>
    <w:uiPriority w:val="99"/>
    <w:semiHidden/>
    <w:unhideWhenUsed/>
  </w:style>
  <w:style w:type="character" w:styleId="660" w:customStyle="1">
    <w:name w:val="apple-converted-space"/>
    <w:rPr>
      <w:rFonts w:cs="Times New Roman"/>
    </w:rPr>
  </w:style>
  <w:style w:type="paragraph" w:styleId="661">
    <w:name w:val="Balloon Text"/>
    <w:basedOn w:val="653"/>
    <w:link w:val="662"/>
    <w:semiHidden/>
    <w:rPr>
      <w:rFonts w:ascii="Arial" w:hAnsi="Arial" w:cs="Arial"/>
      <w:sz w:val="16"/>
      <w:szCs w:val="16"/>
    </w:rPr>
  </w:style>
  <w:style w:type="character" w:styleId="662" w:customStyle="1">
    <w:name w:val="Текст выноски Знак"/>
    <w:link w:val="661"/>
    <w:rPr>
      <w:rFonts w:ascii="Arial" w:hAnsi="Arial" w:cs="Arial"/>
      <w:sz w:val="16"/>
      <w:szCs w:val="16"/>
    </w:rPr>
  </w:style>
  <w:style w:type="character" w:styleId="663">
    <w:name w:val="Hyperlink"/>
    <w:rPr>
      <w:color w:val="0000ff"/>
      <w:u w:val="single"/>
    </w:rPr>
  </w:style>
  <w:style w:type="paragraph" w:styleId="664">
    <w:name w:val="Header"/>
    <w:basedOn w:val="653"/>
    <w:link w:val="665"/>
    <w:pPr>
      <w:tabs>
        <w:tab w:val="center" w:pos="4677" w:leader="none"/>
        <w:tab w:val="right" w:pos="9355" w:leader="none"/>
      </w:tabs>
    </w:pPr>
  </w:style>
  <w:style w:type="character" w:styleId="665" w:customStyle="1">
    <w:name w:val="Верхний колонтитул Знак"/>
    <w:basedOn w:val="657"/>
    <w:link w:val="664"/>
    <w:rPr>
      <w:sz w:val="24"/>
      <w:szCs w:val="24"/>
    </w:rPr>
  </w:style>
  <w:style w:type="paragraph" w:styleId="666">
    <w:name w:val="Footer"/>
    <w:basedOn w:val="653"/>
    <w:link w:val="667"/>
    <w:pPr>
      <w:tabs>
        <w:tab w:val="center" w:pos="4677" w:leader="none"/>
        <w:tab w:val="right" w:pos="9355" w:leader="none"/>
      </w:tabs>
    </w:pPr>
  </w:style>
  <w:style w:type="character" w:styleId="667" w:customStyle="1">
    <w:name w:val="Нижний колонтитул Знак"/>
    <w:basedOn w:val="657"/>
    <w:link w:val="666"/>
    <w:rPr>
      <w:sz w:val="24"/>
      <w:szCs w:val="24"/>
    </w:rPr>
  </w:style>
  <w:style w:type="character" w:styleId="668" w:customStyle="1">
    <w:name w:val="Заголовок 3 Знак"/>
    <w:basedOn w:val="657"/>
    <w:link w:val="655"/>
    <w:rPr>
      <w:rFonts w:ascii="Arial" w:hAnsi="Arial" w:cs="Arial"/>
      <w:b/>
      <w:bCs/>
      <w:sz w:val="26"/>
      <w:szCs w:val="26"/>
    </w:rPr>
  </w:style>
  <w:style w:type="paragraph" w:styleId="669" w:customStyle="1">
    <w:name w:val="Default"/>
    <w:rPr>
      <w:rFonts w:eastAsiaTheme="minorHAnsi"/>
      <w:color w:val="000000"/>
      <w:sz w:val="24"/>
      <w:szCs w:val="24"/>
      <w:lang w:eastAsia="en-US"/>
    </w:rPr>
  </w:style>
  <w:style w:type="character" w:styleId="670" w:customStyle="1">
    <w:name w:val="Заголовок 1 Знак"/>
    <w:basedOn w:val="657"/>
    <w:link w:val="654"/>
    <w:rPr>
      <w:rFonts w:asciiTheme="majorHAnsi" w:hAnsiTheme="majorHAnsi" w:eastAsiaTheme="majorEastAsia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>505.ru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User</dc:creator>
  <cp:lastModifiedBy>panty</cp:lastModifiedBy>
  <cp:revision>7</cp:revision>
  <dcterms:created xsi:type="dcterms:W3CDTF">2025-01-13T11:46:00Z</dcterms:created>
  <dcterms:modified xsi:type="dcterms:W3CDTF">2025-10-22T13:22:07Z</dcterms:modified>
</cp:coreProperties>
</file>