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contextualSpacing/>
        <w:jc w:val="center"/>
        <w:spacing w:line="283" w:lineRule="atLeas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Доклад на публичные слушания</w:t>
      </w:r>
      <w:r>
        <w:rPr>
          <w:sz w:val="24"/>
          <w:szCs w:val="24"/>
        </w:rPr>
      </w:r>
    </w:p>
    <w:p>
      <w:pPr>
        <w:contextualSpacing/>
        <w:jc w:val="center"/>
        <w:spacing w:line="283" w:lineRule="atLeast"/>
        <w:rPr>
          <w:sz w:val="24"/>
          <w:szCs w:val="24"/>
        </w:rPr>
      </w:pPr>
      <w:r>
        <w:rPr>
          <w:sz w:val="24"/>
          <w:szCs w:val="24"/>
        </w:rPr>
        <w:t xml:space="preserve">по заключению на проект решения Совета народных депутатов Анжеро-Судженского  городского округа</w:t>
      </w:r>
      <w:r>
        <w:rPr>
          <w:sz w:val="24"/>
          <w:szCs w:val="24"/>
        </w:rPr>
      </w:r>
    </w:p>
    <w:p>
      <w:pPr>
        <w:contextualSpacing/>
        <w:jc w:val="center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</w:rPr>
        <w:t xml:space="preserve">«О бюджете муниципального образования «Анжеро-Судженский городской округ» на  2021 год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 плановый период 2022-2023 годов» (первое</w:t>
      </w:r>
      <w:r>
        <w:rPr>
          <w:sz w:val="24"/>
          <w:szCs w:val="24"/>
        </w:rPr>
        <w:t xml:space="preserve"> чтение)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contextualSpacing/>
        <w:jc w:val="center"/>
        <w:spacing w:line="283" w:lineRule="atLeas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tbl>
      <w:tblPr>
        <w:tblStyle w:val="48"/>
        <w:tblW w:w="0" w:type="auto"/>
        <w:tblLook w:val="04A0" w:firstRow="1" w:lastRow="0" w:firstColumn="1" w:lastColumn="0" w:noHBand="0" w:noVBand="1"/>
      </w:tblPr>
      <w:tblGrid>
        <w:gridCol w:w="4961"/>
        <w:gridCol w:w="4961"/>
      </w:tblGrid>
      <w:tr>
        <w:tblPrEx/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961" w:type="dxa"/>
            <w:textDirection w:val="lrTb"/>
            <w:noWrap w:val="false"/>
          </w:tcPr>
          <w:p>
            <w:pPr>
              <w:contextualSpacing/>
              <w:jc w:val="left"/>
              <w:spacing w:line="283" w:lineRule="atLeast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  <w:t xml:space="preserve">г.Анжеро-Судженск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961" w:type="dxa"/>
            <w:textDirection w:val="lrTb"/>
            <w:noWrap w:val="false"/>
          </w:tcPr>
          <w:p>
            <w:pPr>
              <w:contextualSpacing/>
              <w:jc w:val="right"/>
              <w:spacing w:line="283" w:lineRule="atLeast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  <w:t xml:space="preserve">24 декабря 2020 года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</w:tr>
    </w:tbl>
    <w:p>
      <w:pPr>
        <w:contextualSpacing/>
        <w:jc w:val="center"/>
        <w:spacing w:line="283" w:lineRule="atLeast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Контрольно-счетной палатой муниципального образования «Анжеро Судженский городской округ» в соответствии с требованиями бюджетного  законодательства рассмотрен проект решения «О бюджете муниципального  образования Анжеро-Судженский городской округ» на 2021</w:t>
      </w:r>
      <w:r>
        <w:rPr>
          <w:sz w:val="24"/>
          <w:szCs w:val="24"/>
        </w:rPr>
        <w:t xml:space="preserve"> год и плановый  период 2022-2023 годов», проанализированы документы и материалы,  представленные одновременно с проектом. 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Особенностью формирования представленного бюджета является  непростая  экономическая  ситуация,  связанная  распространения новой коронавирусной инфекции.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условиях снижения темпов роста собственных доходов бюджета  муниципального образования, на первый план выходит решение задач по  повышению эффективности расходов, обеспечению сбалансированности  бюджета.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Проект бюджета  внесен на рассмотрение Советом народных депутатов  в полном соответствии с требованиями по сроку и объему, установленными  ст.185 БК РФ, ст. 7 Положения о бюджетном процессе.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При подготовке заключения Контрольно-счетной палатой проведен  анализ реализации в Проекте бюджета положений, сформированных в  документах стратегического планирования муниципального образования,  таких как Основные направления бюджетной и налоговой полити</w:t>
      </w:r>
      <w:r>
        <w:rPr>
          <w:sz w:val="24"/>
          <w:szCs w:val="24"/>
        </w:rPr>
        <w:t xml:space="preserve">ки.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Бюджетная и налоговая политика сформирована с учетом всех  изменений  налогового законодательства.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Контрольно-счетная палата считает возможным рекомендовать  разработчикам Бюджетной политики отражать в задачах и  направлениях  Бюджетной политики информацию о федеральных и региональных проектах,  реализуемых в рамках национальных проектов, в которых пред</w:t>
      </w:r>
      <w:r>
        <w:rPr>
          <w:sz w:val="24"/>
          <w:szCs w:val="24"/>
        </w:rPr>
        <w:t xml:space="preserve">полагается  участие города.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b/>
          <w:bCs/>
          <w:sz w:val="24"/>
          <w:szCs w:val="24"/>
        </w:rPr>
        <w:t xml:space="preserve">Как и в прошлый период, КСП АСГО отмечает повышение  качества документа стратегического планирования, в части  детализации  основных  проблематики.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ходе проведения экспертизы проекта бюджета установлено: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соблюдение ограничений, определенных  Бюджетным Кодексом  Российской Федерации по параметрам дефицита бюджета, муниципального  долга и расходам на его обслуживание, по объему резервного фонда и  условно утвержденных расходов,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1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соответствие доходов и расходов по Проекту бюджета в части  средств на межбюджетные трансферты муниципальному  образованию Анжеро-Судженский городской округ в проекте бюджета </w:t>
      </w:r>
      <w:r>
        <w:rPr>
          <w:sz w:val="24"/>
          <w:szCs w:val="24"/>
        </w:rPr>
        <w:t xml:space="preserve">Кемеровской области-Кузбасса на 2021 год и плановый период 2022-2023  годов.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 представленном в Совет народных депутатов Заключении  Контрольно-счетной палаты проведен сравнительный анализ параметров  бюджета, выполненный сопоставлением показателей Проекта бюджета с  исполнением бюджета за 2019 год, ожидаемым исполнением за 2020 г</w:t>
      </w:r>
      <w:r>
        <w:rPr>
          <w:sz w:val="24"/>
          <w:szCs w:val="24"/>
        </w:rPr>
        <w:t xml:space="preserve">од и  уточненным бюджетом.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Поскольку основные параметры бюджета приведены в основном  докладе, Контрольно-счетная палата считает необходимым отметить лишь  некоторые моменты: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2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Проект бюджета предусматривает в 2021 году увеличение общего  объема доходной и расходной частей бюджета муниципального образования  Анжеро-Судженский городской округ по отношению к ожидаемому  исполнению параметров бюджета в 2020 году на 1,2 % и на 2,2%  </w:t>
      </w:r>
      <w:r>
        <w:rPr>
          <w:sz w:val="24"/>
          <w:szCs w:val="24"/>
        </w:rPr>
        <w:t xml:space="preserve">соответственно, за счет безвозмездных поступлений из других уровней  бюджета бюджетной системы.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2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Проект бюджета предусматривает в 2021 году увеличение общего  объема доходной и расходной частей бюджета муниципального образования  Анжеро-Судженский городской округ по отношению к ожидаемому  исполнению параметров бюджета в 2020 году на 1,2 % и на 2,2%  </w:t>
      </w:r>
      <w:r>
        <w:rPr>
          <w:sz w:val="24"/>
          <w:szCs w:val="24"/>
        </w:rPr>
        <w:t xml:space="preserve">соответственно, за счет безвозмездных поступлений из других уровней  бюджета бюджетной системы.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2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то же время собственные доходы снижаются на 2,7% (16,3  млн.руб)   доля 18%  и составят  589 млн. руб.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2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Расходная часть Проекта бюджета сформирована с учетом  реализации 14 муниципальных программ и непрограммных мероприятий.  Структура расходов бюджета муниципального образования Анжеро Судженский городской округ сохраняет социальную направленность.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2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Основной объем программных расходов муниципального  образования Анжеро-Судженский городской округ в 2021 году, как и в  предыдущие годы, запланирован на финансовое обеспечение реализации  программы «Развитие системы  образования» 44,7%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2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Относительно показателей, утвержденных в предыдущем  бюджетном цикле, в 2021 году значительно увеличены расходы по  муниципальным программам «Обеспечение доступным и комфортным  жильем и коммунальными услугами» на 35,3%, «Развитие системы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образования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Анж</w:t>
      </w:r>
      <w:r>
        <w:rPr>
          <w:sz w:val="24"/>
          <w:szCs w:val="24"/>
        </w:rPr>
        <w:t xml:space="preserve">еро-Судженского городского округа»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33,2%,  «Комплексные мероприятия по повышению энергоэффективности жилищно коммунального хозяйства на территории Анжеро-Судженского городского  округа» - 13%.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части планирования, реализации муниципальных программ КСП  АСГО установлено следующее: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3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Отсутствие  запланированного  финансирования  средств  по  муниципальным программам, мероприятиям влечет невыполнение целевых  индикаторов и оценку муниципальных программ  как неэффективных.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pStyle w:val="621"/>
        <w:numPr>
          <w:ilvl w:val="0"/>
          <w:numId w:val="3"/>
        </w:numPr>
        <w:contextualSpacing/>
        <w:ind w:right="0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В  представленных программах переход к программно-целевому  бюджетированию подменен финансированием от достигнутого и программы,  в основном, являются набором расходных требований, не подкрепленных  обоснованными целями, задачами, показателями.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Сегодня, как никогда актуальной является проблема активизации и  координации деятельности органов власти и федеральных служб по  увеличению собираемости платежей в бюджет и полному учету объектов  налогообложения.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/>
        <w:ind w:left="0" w:right="0" w:firstLine="425"/>
        <w:jc w:val="both"/>
        <w:spacing w:line="283" w:lineRule="atLeast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  <w:t xml:space="preserve">Необходимо сосредоточить усилия как на поиске новых источников  пополнения доходов бюджета, в том числе рассмотреть различные варианты  использования муниципальной собственности, реализовать мероприятия по  снижению задолженности за аренду земли, по повыше</w:t>
      </w:r>
      <w:r>
        <w:rPr>
          <w:sz w:val="24"/>
          <w:szCs w:val="24"/>
        </w:rPr>
        <w:t xml:space="preserve">нию коэффициента  собираемости платежей за найм жилых помещений, так и на реализации мер  по повышению эффективности бюджетных расходов.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sectPr>
      <w:footnotePr/>
      <w:endnotePr/>
      <w:type w:val="nextPage"/>
      <w:pgSz w:w="11906" w:h="16838" w:orient="portrait"/>
      <w:pgMar w:top="709" w:right="850" w:bottom="1134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134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54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574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294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014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734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454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74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894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134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)"/>
      <w:lvlJc w:val="righ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11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11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1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8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table" w:styleId="618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19" w:default="1">
    <w:name w:val="No List"/>
    <w:uiPriority w:val="99"/>
    <w:semiHidden/>
    <w:unhideWhenUsed/>
  </w:style>
  <w:style w:type="paragraph" w:styleId="620">
    <w:name w:val="No Spacing"/>
    <w:basedOn w:val="617"/>
    <w:uiPriority w:val="1"/>
    <w:qFormat/>
    <w:pPr>
      <w:spacing w:after="0" w:line="240" w:lineRule="auto"/>
    </w:pPr>
  </w:style>
  <w:style w:type="paragraph" w:styleId="621">
    <w:name w:val="List Paragraph"/>
    <w:basedOn w:val="617"/>
    <w:uiPriority w:val="34"/>
    <w:qFormat/>
    <w:pPr>
      <w:contextualSpacing/>
      <w:ind w:left="720"/>
    </w:pPr>
  </w:style>
  <w:style w:type="character" w:styleId="626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panty</cp:lastModifiedBy>
  <cp:revision>1</cp:revision>
  <dcterms:modified xsi:type="dcterms:W3CDTF">2025-10-20T05:30:59Z</dcterms:modified>
</cp:coreProperties>
</file>