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contextualSpacing/>
        <w:jc w:val="center"/>
        <w:spacing w:line="317" w:lineRule="atLeast"/>
        <w:shd w:val="nil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</w:rPr>
      </w:r>
      <w:r>
        <w:rPr>
          <w:b/>
          <w:bCs/>
          <w:sz w:val="24"/>
          <w:szCs w:val="24"/>
        </w:rPr>
        <w:t xml:space="preserve">Выступление председателя Контрольно-счетной палаты </w:t>
      </w:r>
      <w:r>
        <w:rPr>
          <w:b/>
          <w:bCs/>
          <w:sz w:val="24"/>
          <w:szCs w:val="24"/>
          <w:highlight w:val="none"/>
          <w14:ligatures w14:val="none"/>
        </w:rPr>
      </w:r>
    </w:p>
    <w:p>
      <w:pPr>
        <w:contextualSpacing/>
        <w:jc w:val="center"/>
        <w:spacing w:line="317" w:lineRule="atLeast"/>
        <w:shd w:val="nil" w:color="000000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</w:rPr>
        <w:t xml:space="preserve">Анжеро-Судженского городского округа на публичных слушаниях по </w:t>
      </w:r>
      <w:r>
        <w:rPr>
          <w:b/>
          <w:bCs/>
          <w:sz w:val="24"/>
          <w:szCs w:val="24"/>
          <w:highlight w:val="none"/>
          <w14:ligatures w14:val="none"/>
        </w:rPr>
      </w:r>
    </w:p>
    <w:p>
      <w:pPr>
        <w:contextualSpacing/>
        <w:jc w:val="center"/>
        <w:spacing w:line="317" w:lineRule="atLeast"/>
        <w:shd w:val="nil" w:color="000000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</w:rPr>
        <w:t xml:space="preserve">годовому отчету об исполнении бюджета Анжеро-Судженского </w:t>
      </w:r>
      <w:r>
        <w:rPr>
          <w:b/>
          <w:bCs/>
          <w:sz w:val="24"/>
          <w:szCs w:val="24"/>
          <w:highlight w:val="none"/>
          <w14:ligatures w14:val="none"/>
        </w:rPr>
      </w:r>
    </w:p>
    <w:p>
      <w:pPr>
        <w:contextualSpacing/>
        <w:jc w:val="center"/>
        <w:spacing w:line="317" w:lineRule="atLeast"/>
        <w:shd w:val="nil" w:color="000000"/>
        <w:rPr>
          <w:b/>
          <w:bCs/>
          <w:highlight w:val="none"/>
          <w14:ligatures w14:val="none"/>
        </w:rPr>
      </w:pPr>
      <w:r>
        <w:rPr>
          <w:b/>
          <w:bCs/>
          <w:sz w:val="24"/>
          <w:szCs w:val="24"/>
        </w:rPr>
        <w:t xml:space="preserve">городского округа за 2022 год</w:t>
      </w:r>
      <w:r>
        <w:rPr>
          <w:b/>
          <w:bCs/>
        </w:rPr>
      </w:r>
      <w:r>
        <w:rPr>
          <w:b/>
          <w:bCs/>
        </w:rPr>
      </w:r>
    </w:p>
    <w:p>
      <w:pPr>
        <w:contextualSpacing/>
        <w:jc w:val="center"/>
        <w:spacing w:line="317" w:lineRule="atLeast"/>
        <w:shd w:val="nil" w:color="000000"/>
        <w:rPr>
          <w:b/>
          <w:bCs/>
          <w:sz w:val="24"/>
          <w:szCs w:val="24"/>
          <w:highlight w:val="none"/>
          <w14:ligatures w14:val="none"/>
        </w:rPr>
      </w:pPr>
      <w:r>
        <w:rPr>
          <w:b/>
          <w:bCs/>
          <w:highlight w:val="none"/>
        </w:rPr>
      </w:r>
      <w:r>
        <w:rPr>
          <w:b/>
          <w:bCs/>
          <w:highlight w:val="none"/>
        </w:rPr>
      </w:r>
    </w:p>
    <w:p>
      <w:pPr>
        <w:contextualSpacing/>
        <w:jc w:val="center"/>
        <w:spacing w:line="283" w:lineRule="atLeast"/>
        <w:shd w:val="nil" w:color="000000"/>
        <w:rPr>
          <w:sz w:val="24"/>
          <w:szCs w:val="24"/>
          <w14:ligatures w14:val="none"/>
        </w:rPr>
      </w:pPr>
      <w:r>
        <w:rPr>
          <w:sz w:val="28"/>
          <w:szCs w:val="28"/>
          <w:highlight w:val="none"/>
        </w:rPr>
      </w:r>
      <w:r>
        <w:rPr>
          <w:sz w:val="24"/>
          <w:szCs w:val="24"/>
        </w:rPr>
        <w:t xml:space="preserve">(по заключению Контрольно-счетной палаты на годовой отчет об </w:t>
      </w:r>
      <w:r>
        <w:rPr>
          <w:sz w:val="28"/>
          <w:szCs w:val="28"/>
          <w:highlight w:val="none"/>
          <w14:ligatures w14:val="none"/>
        </w:rPr>
      </w:r>
    </w:p>
    <w:p>
      <w:pPr>
        <w:contextualSpacing/>
        <w:jc w:val="center"/>
        <w:spacing w:line="283" w:lineRule="atLeast"/>
        <w:shd w:val="nil" w:color="000000"/>
        <w:rPr>
          <w:sz w:val="28"/>
          <w:szCs w:val="28"/>
          <w:highlight w:val="none"/>
          <w14:ligatures w14:val="none"/>
        </w:rPr>
      </w:pPr>
      <w:r>
        <w:rPr>
          <w:sz w:val="24"/>
          <w:szCs w:val="24"/>
        </w:rPr>
        <w:t xml:space="preserve">исполнении бюджета за 2022 год)</w:t>
      </w:r>
      <w:r>
        <w:rPr>
          <w:sz w:val="28"/>
          <w:szCs w:val="28"/>
          <w:highlight w:val="none"/>
        </w:rPr>
      </w:r>
      <w:r>
        <w:rPr>
          <w:sz w:val="24"/>
          <w:szCs w:val="24"/>
        </w:rPr>
      </w:r>
    </w:p>
    <w:p>
      <w:pPr>
        <w:shd w:val="nil" w:color="000000"/>
        <w:rPr>
          <w:sz w:val="28"/>
          <w:szCs w:val="28"/>
          <w14:ligatures w14:val="none"/>
        </w:rPr>
      </w:pPr>
      <w:r>
        <w:rPr>
          <w:sz w:val="28"/>
          <w:szCs w:val="28"/>
          <w14:ligatures w14:val="none"/>
        </w:rPr>
      </w:r>
      <w:r>
        <w:rPr>
          <w:sz w:val="28"/>
          <w:szCs w:val="28"/>
          <w14:ligatures w14:val="none"/>
        </w:rPr>
      </w:r>
    </w:p>
    <w:p>
      <w:pPr>
        <w:contextualSpacing/>
        <w:spacing w:line="283" w:lineRule="exact"/>
        <w:shd w:val="nil" w:color="000000"/>
        <w:rPr>
          <w:sz w:val="24"/>
          <w:szCs w:val="24"/>
          <w14:ligatures w14:val="none"/>
        </w:rPr>
      </w:pPr>
      <w:r>
        <w:rPr>
          <w:sz w:val="28"/>
          <w:szCs w:val="28"/>
          <w:highlight w:val="none"/>
        </w:rPr>
      </w:r>
      <w:r>
        <w:rPr>
          <w:sz w:val="24"/>
          <w:szCs w:val="24"/>
        </w:rPr>
        <w:t xml:space="preserve">Уважаемый Александр Николаевич!   </w:t>
      </w:r>
      <w:r>
        <w:rPr>
          <w:sz w:val="28"/>
          <w:szCs w:val="28"/>
          <w14:ligatures w14:val="none"/>
        </w:rPr>
      </w:r>
    </w:p>
    <w:p>
      <w:pPr>
        <w:contextualSpacing/>
        <w:spacing w:line="283" w:lineRule="exact"/>
        <w:shd w:val="nil" w:color="000000"/>
        <w:rPr>
          <w:sz w:val="24"/>
          <w:szCs w:val="24"/>
          <w14:ligatures w14:val="none"/>
        </w:rPr>
      </w:pPr>
      <w:r>
        <w:rPr>
          <w:sz w:val="24"/>
          <w:szCs w:val="24"/>
        </w:rPr>
        <w:t xml:space="preserve">Уважаемый Вадим Анатольевич!  </w:t>
      </w:r>
      <w:r>
        <w:rPr>
          <w:sz w:val="28"/>
          <w:szCs w:val="28"/>
          <w14:ligatures w14:val="none"/>
        </w:rPr>
      </w:r>
    </w:p>
    <w:p>
      <w:pPr>
        <w:contextualSpacing/>
        <w:spacing w:line="283" w:lineRule="exact"/>
        <w:shd w:val="nil" w:color="000000"/>
        <w:rPr>
          <w:sz w:val="24"/>
          <w:szCs w:val="24"/>
          <w14:ligatures w14:val="none"/>
        </w:rPr>
      </w:pPr>
      <w:r>
        <w:rPr>
          <w:sz w:val="24"/>
          <w:szCs w:val="24"/>
        </w:rPr>
        <w:t xml:space="preserve">Уважаемые депутаты!  </w:t>
      </w:r>
      <w:r>
        <w:rPr>
          <w:sz w:val="28"/>
          <w:szCs w:val="28"/>
          <w14:ligatures w14:val="none"/>
        </w:rPr>
      </w:r>
    </w:p>
    <w:p>
      <w:pPr>
        <w:contextualSpacing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</w:rPr>
        <w:t xml:space="preserve">Уважаемые участники публичных слушаний!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contextualSpacing/>
        <w:spacing w:line="283" w:lineRule="exact"/>
        <w:shd w:val="nil" w:color="000000"/>
        <w:rPr>
          <w:sz w:val="28"/>
          <w:szCs w:val="28"/>
          <w14:ligatures w14:val="none"/>
        </w:rPr>
      </w:pPr>
      <w:r>
        <w:rPr>
          <w:sz w:val="28"/>
          <w:szCs w:val="28"/>
          <w14:ligatures w14:val="none"/>
        </w:rPr>
      </w:r>
      <w:r>
        <w:rPr>
          <w:sz w:val="28"/>
          <w:szCs w:val="28"/>
          <w14:ligatures w14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t xml:space="preserve">В  соответствии с требованиями бюджетного законодательства Контрольно-счетной палатой проведена внешняя проверка годового отчета  об исполнении местного бюджета за 2022 год.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t xml:space="preserve">Традиционно проверка включала три направления: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3"/>
        </w:numPr>
        <w:contextualSpacing/>
        <w:ind w:left="1134" w:right="0" w:hanging="283"/>
        <w:jc w:val="both"/>
        <w:spacing w:line="283" w:lineRule="exact"/>
        <w:shd w:val="nil" w:color="000000"/>
        <w:rPr>
          <w:sz w:val="28"/>
          <w:szCs w:val="28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внешняя проверка годовой бюджетной  отчетности главных  администраторов бюджетных средств  и выборочно их подведомственных  учреждений;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3"/>
        </w:numPr>
        <w:contextualSpacing/>
        <w:ind w:left="1134" w:right="0" w:hanging="283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анализ сводного отчета об исполнении муниципальных программ за  2022 год;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3"/>
        </w:numPr>
        <w:contextualSpacing/>
        <w:ind w:left="1134" w:right="0" w:hanging="283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подготовка заключения на годовой отчет об исполнении бюджета за  2022   год, который как раз и составлен финансовым управлением  администрации Анжеро-Судженского городского округа на основании  сводной бюджетной отчетности главных администраторов.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Целью проведения внешней проверки, напомню, является установление  достоверности годового отчета об исполнении бюджета и бюджетной  отчетности главных администраторов бюджетных средств, законности и  результативности деятельности по исполнению местного бюд</w:t>
      </w:r>
      <w:r>
        <w:rPr>
          <w:sz w:val="24"/>
          <w:szCs w:val="24"/>
        </w:rPr>
        <w:t xml:space="preserve">жета в  отчетном финансовом году.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  <w14:ligatures w14:val="none"/>
        </w:rPr>
      </w:r>
      <w:r>
        <w:rPr>
          <w:sz w:val="24"/>
          <w:szCs w:val="24"/>
          <w:highlight w:val="none"/>
          <w14:ligatures w14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:u w:val="single"/>
          <w14:ligatures w14:val="none"/>
        </w:rPr>
      </w:pPr>
      <w:r>
        <w:rPr>
          <w:sz w:val="24"/>
          <w:szCs w:val="24"/>
          <w:highlight w:val="none"/>
          <w14:ligatures w14:val="none"/>
        </w:rPr>
      </w:r>
      <w:r>
        <w:rPr>
          <w:sz w:val="24"/>
          <w:szCs w:val="24"/>
          <w:u w:val="single"/>
        </w:rPr>
        <w:t xml:space="preserve">Что касается первого направления.</w:t>
      </w:r>
      <w:r>
        <w:rPr>
          <w:sz w:val="24"/>
          <w:szCs w:val="24"/>
          <w:highlight w:val="none"/>
          <w:u w:val="single"/>
          <w14:ligatures w14:val="none"/>
        </w:rPr>
      </w:r>
      <w:r>
        <w:rPr>
          <w:sz w:val="24"/>
          <w:szCs w:val="24"/>
          <w:highlight w:val="none"/>
          <w14:ligatures w14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:u w:val="single"/>
          <w14:ligatures w14:val="none"/>
        </w:rPr>
      </w:pPr>
      <w:r>
        <w:rPr>
          <w:sz w:val="24"/>
          <w:szCs w:val="24"/>
          <w:highlight w:val="none"/>
          <w:u w:val="single"/>
          <w14:ligatures w14:val="none"/>
        </w:rPr>
      </w:r>
      <w:r>
        <w:rPr>
          <w:sz w:val="24"/>
          <w:szCs w:val="24"/>
        </w:rPr>
        <w:t xml:space="preserve">В Контрольно-счетную палату представлена годовая бюджетная  отчетность 10 главными администраторами бюджетных средств.</w:t>
      </w:r>
      <w:r>
        <w:rPr>
          <w:sz w:val="24"/>
          <w:szCs w:val="24"/>
          <w:highlight w:val="none"/>
          <w:u w:val="single"/>
          <w14:ligatures w14:val="none"/>
        </w:rPr>
      </w:r>
      <w:r>
        <w:rPr>
          <w:sz w:val="24"/>
          <w:szCs w:val="24"/>
          <w:highlight w:val="none"/>
          <w:u w:val="single"/>
          <w14:ligatures w14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:u w:val="single"/>
          <w14:ligatures w14:val="none"/>
        </w:rPr>
      </w:pPr>
      <w:r>
        <w:rPr>
          <w:sz w:val="24"/>
          <w:szCs w:val="24"/>
          <w:highlight w:val="none"/>
          <w:u w:val="single"/>
          <w14:ligatures w14:val="none"/>
        </w:rPr>
      </w:r>
      <w:r>
        <w:rPr>
          <w:sz w:val="24"/>
          <w:szCs w:val="24"/>
        </w:rPr>
        <w:t xml:space="preserve">В сравнении с 2021 годом качество предоставленной отчетности  снизилось, практически, по всем ГРБС.</w:t>
      </w:r>
      <w:r>
        <w:rPr>
          <w:sz w:val="24"/>
          <w:szCs w:val="24"/>
          <w:highlight w:val="none"/>
          <w:u w:val="single"/>
          <w14:ligatures w14:val="none"/>
        </w:rPr>
      </w:r>
      <w:r>
        <w:rPr>
          <w:sz w:val="24"/>
          <w:szCs w:val="24"/>
          <w:highlight w:val="none"/>
          <w:u w:val="single"/>
          <w14:ligatures w14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:u w:val="single"/>
          <w14:ligatures w14:val="none"/>
        </w:rPr>
      </w:pPr>
      <w:r>
        <w:rPr>
          <w:sz w:val="24"/>
          <w:szCs w:val="24"/>
          <w:highlight w:val="none"/>
          <w:u w:val="single"/>
          <w14:ligatures w14:val="none"/>
        </w:rPr>
      </w:r>
      <w:r>
        <w:rPr>
          <w:sz w:val="24"/>
          <w:szCs w:val="24"/>
        </w:rPr>
        <w:t xml:space="preserve">Если в прошлом году по оценке качества финансового менеджмента   Контрольно-счетной палаты максимальный балл из трех показателей  получили 2 ГРСБ  (культура, ужкх),  то за 2022 год максимальный бал не  получил никто.</w:t>
      </w:r>
      <w:r>
        <w:rPr>
          <w:sz w:val="24"/>
          <w:szCs w:val="24"/>
          <w:highlight w:val="none"/>
          <w:u w:val="single"/>
          <w14:ligatures w14:val="none"/>
        </w:rPr>
      </w:r>
      <w:r>
        <w:rPr>
          <w:sz w:val="24"/>
          <w:szCs w:val="24"/>
          <w:highlight w:val="none"/>
          <w:u w:val="single"/>
          <w14:ligatures w14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:u w:val="single"/>
          <w14:ligatures w14:val="none"/>
        </w:rPr>
      </w:pPr>
      <w:r>
        <w:rPr>
          <w:sz w:val="24"/>
          <w:szCs w:val="24"/>
          <w:highlight w:val="none"/>
          <w:u w:val="single"/>
          <w14:ligatures w14:val="none"/>
        </w:rPr>
      </w:r>
      <w:r>
        <w:rPr>
          <w:sz w:val="24"/>
          <w:szCs w:val="24"/>
        </w:rPr>
        <w:t xml:space="preserve">Сумма нарушений увеличилась в 2,2 раза (было – 1,5 млрд. руб., стало  3, 23 млрд. рублей):</w:t>
      </w:r>
      <w:r>
        <w:rPr>
          <w:sz w:val="24"/>
          <w:szCs w:val="24"/>
          <w:highlight w:val="none"/>
          <w:u w:val="single"/>
          <w14:ligatures w14:val="none"/>
        </w:rPr>
      </w:r>
      <w:r>
        <w:rPr>
          <w:sz w:val="24"/>
          <w:szCs w:val="24"/>
          <w:highlight w:val="none"/>
          <w:u w:val="single"/>
          <w14:ligatures w14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:u w:val="single"/>
          <w14:ligatures w14:val="none"/>
        </w:rPr>
      </w:pPr>
      <w:r>
        <w:rPr>
          <w:sz w:val="24"/>
          <w:szCs w:val="24"/>
          <w:highlight w:val="none"/>
          <w:u w:val="single"/>
          <w14:ligatures w14:val="none"/>
        </w:rPr>
      </w:r>
      <w:r>
        <w:rPr>
          <w:sz w:val="24"/>
          <w:szCs w:val="24"/>
        </w:rPr>
        <w:t xml:space="preserve">Наибольшее  снижение  качества  предоставления  отчетности  наблюдается по следующим ГА (Р)БС:</w:t>
      </w:r>
      <w:r>
        <w:rPr>
          <w:sz w:val="24"/>
          <w:szCs w:val="24"/>
          <w:highlight w:val="none"/>
          <w:u w:val="single"/>
          <w14:ligatures w14:val="none"/>
        </w:rPr>
      </w:r>
      <w:r>
        <w:rPr>
          <w:sz w:val="24"/>
          <w:szCs w:val="24"/>
          <w:highlight w:val="none"/>
          <w:u w:val="single"/>
          <w14:ligatures w14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  <w:u w:val="single"/>
          <w14:ligatures w14:val="none"/>
        </w:rPr>
      </w:r>
      <w:r>
        <w:rPr>
          <w:sz w:val="24"/>
          <w:szCs w:val="24"/>
          <w:highlight w:val="none"/>
          <w:u w:val="single"/>
          <w14:ligatures w14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Администрации Анжеро-Судженского городского округа (в части  Инструкция 33н);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Комитет по управлению муниципальным имуществом администрации  Анжеро-Судженского городского округа (Инструкция 191н, Инструкция  33н);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Управление социальной защиты населения администрации Анжеро Судженского городского округа (Инструкция 191н);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Управление  образования  администрации Анжеро-Судженского  городского округа (в части Инструкция 33н)</w:t>
      </w: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;</w:t>
      </w:r>
      <w:r/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Управление культуры администрации Анжеро-Судженского городского округа (Инструкция 191н, Инструкция  33н);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Управление жилищно-коммунального хозяйства администрации  Анжеро-Судженского городского округа (Инструкция 191н).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КСП АСГО отмечены факты неполноты, недостоверности и иных  недостатков годовой отчетности у 8 из 10 ГА(Р)БС, что составляет 80% от  общего числа ГА(Р)БС (6 из 10)</w:t>
      </w:r>
      <w:r>
        <w:rPr>
          <w:sz w:val="24"/>
          <w:szCs w:val="24"/>
        </w:rPr>
        <w:t xml:space="preserve">.</w:t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В  2022 году наблюдается увеличение количества ГА(Р)БС,  допустивших искажение и иные неточности бюджетной и бухгалтерской  отчетности (в 2021 году – искажение отчетности было отмечено у 6  ГА(Р)БС).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Контрольно-счетная палата отмечает, что практически всеми главными  администраторами   допущены те или иные нарушения нормативных  правовых актов, регламентирующих порядок составления и представления  бюджетной отчетности, нарушения Бюджетного кодекса, Фед</w:t>
      </w:r>
      <w:r>
        <w:rPr>
          <w:sz w:val="24"/>
          <w:szCs w:val="24"/>
        </w:rPr>
        <w:t xml:space="preserve">ерального  закона «О бухгалтерском учете», федеральных стандартов.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Основные нарушения выявлены по показателям представленных  Главных книг и Балансов главного распорядителя, распорядителя,  получателя бюджетных средств, главного администратора, администратора  источников финансирования дефицита бюджета, главного администр</w:t>
      </w:r>
      <w:r>
        <w:rPr>
          <w:sz w:val="24"/>
          <w:szCs w:val="24"/>
        </w:rPr>
        <w:t xml:space="preserve">атора, администратора доходов бюджета, Балансов (муниципального) учреждения,  а также отчета о бюджетных обязательств, что опосредовано может влиять на  достоверность отчета об исполнении бюджета города в целом.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Остаются актуальными вопросы проведения инвентаризации активов и  обязательств учреждений, так как установлены факты формального подхода  к данному вопросу.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Не в полной мере исполнены рекомендации Контрольно-счетной  палаты по реализации главными администраторами полномочий по  осуществлению внутреннего финансового аудита, установленных статьей  1602-1 Бюджетного кодекса. Поэтому указанная рекомендация остаетс</w:t>
      </w:r>
      <w:r>
        <w:rPr>
          <w:sz w:val="24"/>
          <w:szCs w:val="24"/>
        </w:rPr>
        <w:t xml:space="preserve">я  актуальной и по итогам внешней проверки за 2022 год.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0"/>
        <w:jc w:val="both"/>
        <w:spacing w:line="283" w:lineRule="exact"/>
        <w:shd w:val="nil" w:color="000000"/>
        <w:rPr>
          <w:b/>
          <w:bCs/>
          <w:sz w:val="24"/>
          <w:szCs w:val="24"/>
          <w:highlight w:val="none"/>
          <w14:ligatures w14:val="none"/>
        </w:rPr>
      </w:pPr>
      <w:r>
        <w:rPr>
          <w:b/>
          <w:bCs/>
          <w:sz w:val="24"/>
          <w:szCs w:val="24"/>
          <w:highlight w:val="none"/>
          <w14:ligatures w14:val="none"/>
        </w:rPr>
      </w:r>
      <w:r>
        <w:rPr>
          <w:b/>
          <w:bCs/>
          <w:sz w:val="24"/>
          <w:szCs w:val="24"/>
        </w:rPr>
        <w:t xml:space="preserve">Контрольно-счетная палата видит необходимым принятие мер,  направленных на совершенствование проведения внутренних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аудиторских проверок достоверности бюджетной отчетности и порядка  ведения бюджетного учета главными администраторами бюджетных  средств, осуществившими передачу полномочий по ведению бюджетного  учета, составлению и представлению бюджетной отчетности в ЦБ</w:t>
      </w:r>
      <w:r>
        <w:rPr>
          <w:b/>
          <w:bCs/>
          <w:sz w:val="24"/>
          <w:szCs w:val="24"/>
        </w:rPr>
        <w:t xml:space="preserve">.</w:t>
      </w:r>
      <w:r>
        <w:rPr>
          <w:b/>
          <w:bCs/>
          <w:sz w:val="24"/>
          <w:szCs w:val="24"/>
          <w:highlight w:val="none"/>
          <w14:ligatures w14:val="none"/>
        </w:rPr>
      </w:r>
      <w:r>
        <w:rPr>
          <w:b/>
          <w:bCs/>
          <w:sz w:val="24"/>
          <w:szCs w:val="24"/>
          <w:highlight w:val="none"/>
          <w14:ligatures w14:val="none"/>
        </w:rPr>
      </w:r>
      <w:r>
        <w:rPr>
          <w:b/>
          <w:bCs/>
          <w:sz w:val="24"/>
          <w:szCs w:val="24"/>
          <w:highlight w:val="none"/>
          <w14:ligatures w14:val="none"/>
        </w:rPr>
      </w:r>
      <w:r>
        <w:rPr>
          <w:b/>
          <w:bCs/>
          <w:sz w:val="24"/>
          <w:szCs w:val="24"/>
          <w:highlight w:val="none"/>
          <w14:ligatures w14:val="none"/>
        </w:rPr>
      </w:r>
      <w:r>
        <w:rPr>
          <w:b/>
          <w:bCs/>
          <w:sz w:val="24"/>
          <w:szCs w:val="24"/>
          <w:highlight w:val="none"/>
          <w14:ligatures w14:val="none"/>
        </w:rPr>
      </w:r>
    </w:p>
    <w:p>
      <w:pPr>
        <w:contextualSpacing/>
        <w:ind w:left="0" w:right="0" w:firstLine="0"/>
        <w:jc w:val="both"/>
        <w:spacing w:line="283" w:lineRule="exact"/>
        <w:shd w:val="nil" w:color="000000"/>
        <w:rPr>
          <w:b/>
          <w:bCs/>
          <w:sz w:val="24"/>
          <w:szCs w:val="24"/>
          <w:highlight w:val="none"/>
          <w14:ligatures w14:val="none"/>
        </w:rPr>
      </w:pPr>
      <w:r>
        <w:rPr>
          <w:b/>
          <w:bCs/>
          <w:sz w:val="24"/>
          <w:szCs w:val="24"/>
          <w:highlight w:val="none"/>
          <w14:ligatures w14:val="none"/>
        </w:rPr>
      </w:r>
      <w:r>
        <w:rPr>
          <w:b/>
          <w:bCs/>
          <w:sz w:val="24"/>
          <w:szCs w:val="24"/>
          <w:highlight w:val="none"/>
          <w14:ligatures w14:val="none"/>
        </w:rPr>
      </w:r>
    </w:p>
    <w:p>
      <w:pPr>
        <w:contextualSpacing/>
        <w:ind w:left="0" w:right="0" w:firstLine="0"/>
        <w:jc w:val="both"/>
        <w:spacing w:line="283" w:lineRule="exact"/>
        <w:shd w:val="nil" w:color="000000"/>
        <w:rPr>
          <w:b/>
          <w:bCs/>
          <w:sz w:val="24"/>
          <w:szCs w:val="24"/>
          <w:highlight w:val="none"/>
          <w:u w:val="single"/>
          <w14:ligatures w14:val="none"/>
        </w:rPr>
      </w:pPr>
      <w:r>
        <w:rPr>
          <w:b/>
          <w:bCs/>
          <w:sz w:val="24"/>
          <w:szCs w:val="24"/>
          <w:highlight w:val="none"/>
          <w:u w:val="single"/>
          <w14:ligatures w14:val="none"/>
        </w:rPr>
      </w:r>
      <w:r>
        <w:rPr>
          <w:sz w:val="24"/>
          <w:szCs w:val="24"/>
          <w:u w:val="single"/>
        </w:rPr>
        <w:t xml:space="preserve">По второму направлению:</w:t>
      </w:r>
      <w:r>
        <w:rPr>
          <w:b/>
          <w:bCs/>
          <w:sz w:val="24"/>
          <w:szCs w:val="24"/>
          <w:highlight w:val="none"/>
          <w:u w:val="single"/>
          <w14:ligatures w14:val="none"/>
        </w:rPr>
      </w:r>
      <w:r>
        <w:rPr>
          <w:b/>
          <w:bCs/>
          <w:sz w:val="24"/>
          <w:szCs w:val="24"/>
          <w:highlight w:val="none"/>
          <w:u w:val="single"/>
          <w14:ligatures w14:val="none"/>
        </w:rPr>
      </w:r>
      <w:r>
        <w:rPr>
          <w:b/>
          <w:bCs/>
          <w:sz w:val="24"/>
          <w:szCs w:val="24"/>
          <w:highlight w:val="none"/>
          <w:u w:val="single"/>
          <w14:ligatures w14:val="none"/>
        </w:rPr>
      </w:r>
      <w:r>
        <w:rPr>
          <w:b/>
          <w:bCs/>
          <w:sz w:val="24"/>
          <w:szCs w:val="24"/>
          <w:highlight w:val="none"/>
          <w:u w:val="single"/>
          <w14:ligatures w14:val="none"/>
        </w:rPr>
      </w:r>
      <w:r>
        <w:rPr>
          <w:b/>
          <w:bCs/>
          <w:sz w:val="24"/>
          <w:szCs w:val="24"/>
          <w:highlight w:val="none"/>
          <w:u w:val="single"/>
          <w14:ligatures w14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По результатам анализа сводного отчета об исполнении  муниципальных программ за 2022 год, представленного в Контрольно счетную палату Управлением экономики, промышленности. Контрольно счетная палата отмечает следующее.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Контрольно-счетной  палатой  по данным сводного отчета  проанализированы показатели 14 муниципальных программ.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По результатам оценки эффективности программ за 2022 год  определено, что с высоким уровнем эффективности реализовано 11 программ,  с запланированным уровнем эффективности 3 программы – «Развитие и  поддержка субъектов малого и среднего предпринимательства</w:t>
      </w:r>
      <w:r>
        <w:rPr>
          <w:sz w:val="24"/>
          <w:szCs w:val="24"/>
        </w:rPr>
        <w:t xml:space="preserve"> Анжеро Судженского городского округа», «Обеспечение доступным и комфортным  жильем и коммунальными услугами. Строительство», «Создание условий для  повышения эффективности муниципального управления» (в 2021 году был  высокий уровень).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В ходе анализа исполнения программных расходов городского  бюджета установлено, что наименьший уровень кассового исполнения  сложился по МП «Создание условий для повышения эффективности  муниципального управления» (81,9 %) и «Обеспечение доступным и  комфо</w:t>
      </w:r>
      <w:r>
        <w:rPr>
          <w:sz w:val="24"/>
          <w:szCs w:val="24"/>
        </w:rPr>
        <w:t xml:space="preserve">ртным жильем и коммунальными услугами. Строительство» (90,7 %).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Повысилось качество формирования и исполнения по МП  «Строительство».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Как уже ранее отмечала Контрольно-счетная палата, по ряду программ  наблюдается дисбаланс между оценкой эффективности программы и уровнем  затрат, что может свидетельствовать об отсутствии взаимосвязи ресурсов и  результатов реализации программы.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Проанализировав исполнение целевых показателей, КСП АСГО  отмечает снижение по количеству неисполненных целевых показателей к  2021 году на 19 единиц. Повысился средний уровень достижения целевых  показателей на 2,3 процентных пункта.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Согласно заключениям, направленным директорам программ, КСП  АСГО установила ряд системных нарушений и недостатков в ходе  финансово-экономической экспертизы Сводного отчета по МП за 2022 год: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4"/>
        </w:numPr>
        <w:contextualSpacing/>
        <w:ind w:left="850" w:right="0" w:hanging="283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Неразмещение или нарушение сроков размещения муниципальных  программ и внесение изменений в них в ГИС «Управление».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4"/>
        </w:numPr>
        <w:contextualSpacing/>
        <w:ind w:left="850" w:right="0" w:hanging="283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Не указываются причины невыполнения  показателей программы.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4"/>
        </w:numPr>
        <w:contextualSpacing/>
        <w:ind w:left="850" w:right="0" w:hanging="283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Отсутствуют методики  оценки эффективности муниципальной  программы.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4"/>
        </w:numPr>
        <w:contextualSpacing/>
        <w:ind w:left="850" w:right="0" w:hanging="283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И ряд других.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0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Согласно ответам директоров и ответственных исполнителей МП,  направленных в адрес КСП АСГО, замечания указанные в заключениях были  приняты во внимание.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  <w14:ligatures w14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В ходе анализа сводного Отчета об исполнении МП КСП АСГО  отмечает взаимосвязь целевых показателей муниципальных программ с  показателями региональных проектов.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К сожалению, в данном отчетном году при формировании сводного  отчета по МП и направленному в Контрольно-счетную палату  Управлением  экономики, промышленности были допущены многочисленные ошибки, а  одну программу вообще упустили.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Большая просьба к Илье Владимировичу взять под личный контроль  качество формирования сводного отчета, который в дальнейшем  направляется для анализа в Контрольно-счетную палату.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0"/>
        <w:jc w:val="both"/>
        <w:spacing w:line="283" w:lineRule="exact"/>
        <w:shd w:val="nil" w:color="000000"/>
        <w:rPr>
          <w:sz w:val="24"/>
          <w:szCs w:val="24"/>
          <w:highlight w:val="none"/>
          <w:u w:val="single"/>
          <w14:ligatures w14:val="none"/>
        </w:rPr>
      </w:pPr>
      <w:r>
        <w:rPr>
          <w:sz w:val="24"/>
          <w:szCs w:val="24"/>
          <w:highlight w:val="none"/>
          <w:u w:val="single"/>
        </w:rPr>
      </w:r>
      <w:r>
        <w:rPr>
          <w:sz w:val="24"/>
          <w:szCs w:val="24"/>
          <w:u w:val="single"/>
        </w:rPr>
        <w:t xml:space="preserve">Что касается третьего направления.</w:t>
      </w:r>
      <w:r>
        <w:rPr>
          <w:sz w:val="24"/>
          <w:szCs w:val="24"/>
          <w:highlight w:val="none"/>
          <w:u w:val="single"/>
        </w:rPr>
      </w:r>
      <w:r>
        <w:rPr>
          <w:sz w:val="24"/>
          <w:szCs w:val="24"/>
          <w:highlight w:val="none"/>
          <w:u w:val="singl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Годовой отчет об исполнении бюджета представлен в Контрольно  счетную палату с соблюдением сроков и в соответствии с требованиями,  установленными Положением  о бюджетном процессе.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По итогам внешней проверки было подготовлено соответствующее  заключение, которое направлено в Совет народных депутатов и главе  городского округа.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Однако есть обстоятельства, которые Контрольно-счетная палата считает необходимым озвучить по итогам исполнения прошедшего  финансового года поскольку, на наш взгляд, они требуют внимания при  исполнении бюджета в текущем финансовом году.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  <w14:ligatures w14:val="none"/>
        </w:rPr>
      </w:r>
      <w:r>
        <w:rPr>
          <w:sz w:val="24"/>
          <w:szCs w:val="24"/>
          <w:highlight w:val="none"/>
          <w14:ligatures w14:val="none"/>
        </w:rPr>
      </w:r>
    </w:p>
    <w:p>
      <w:pPr>
        <w:contextualSpacing/>
        <w:ind w:left="0" w:right="0" w:firstLine="0"/>
        <w:jc w:val="both"/>
        <w:spacing w:line="283" w:lineRule="exact"/>
        <w:shd w:val="nil" w:color="000000"/>
        <w:rPr>
          <w:b/>
          <w:bCs/>
          <w:sz w:val="24"/>
          <w:szCs w:val="24"/>
          <w:highlight w:val="none"/>
          <w14:ligatures w14:val="none"/>
        </w:rPr>
      </w:pPr>
      <w:r>
        <w:rPr>
          <w:b/>
          <w:bCs/>
          <w:sz w:val="24"/>
          <w:szCs w:val="24"/>
          <w:highlight w:val="none"/>
        </w:rPr>
      </w:r>
      <w:r>
        <w:rPr>
          <w:b/>
          <w:bCs/>
          <w:sz w:val="24"/>
          <w:szCs w:val="24"/>
        </w:rPr>
        <w:t xml:space="preserve">По доходам бюджета.</w:t>
      </w:r>
      <w:r>
        <w:rPr>
          <w:b/>
          <w:bCs/>
          <w:sz w:val="24"/>
          <w:szCs w:val="24"/>
          <w:highlight w:val="none"/>
        </w:rPr>
      </w:r>
      <w:r>
        <w:rPr>
          <w:b/>
          <w:bCs/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Динамика объема </w:t>
      </w:r>
      <w:r>
        <w:rPr>
          <w:b/>
          <w:bCs/>
          <w:sz w:val="24"/>
          <w:szCs w:val="24"/>
        </w:rPr>
        <w:t xml:space="preserve">налоговых и неналоговых</w:t>
      </w:r>
      <w:r>
        <w:rPr>
          <w:sz w:val="24"/>
          <w:szCs w:val="24"/>
        </w:rPr>
        <w:t xml:space="preserve"> поступлений, как и в  прошлом отчетном периоде, имеет </w:t>
      </w:r>
      <w:r>
        <w:rPr>
          <w:b/>
          <w:bCs/>
          <w:sz w:val="24"/>
          <w:szCs w:val="24"/>
        </w:rPr>
        <w:t xml:space="preserve">тенденцию к увеличению</w:t>
      </w:r>
      <w:r>
        <w:rPr>
          <w:sz w:val="24"/>
          <w:szCs w:val="24"/>
        </w:rPr>
        <w:t xml:space="preserve"> (15,9 % и  26,4%).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Вместе с тем, увеличивается и недоимка по налоговым платежам и  дебиторская задолженность по неналоговым доходам.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По сравнению с 2021 годом задолженность по налогам увеличилась на  31,8 %.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Дебиторская задолженность по аренде за земельные участки в  отчетном периоде увеличилась на 12, 9 млн.  рублей или на 25,8% (63 058,22 руб.).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За  аренду имущества относительно 2021 года дебиторская  задолженность увеличилась на  87, 4  млн. рублей или в 2,6 раза. (140,4 млн.  руб.)</w:t>
      </w:r>
      <w:r>
        <w:rPr>
          <w:sz w:val="24"/>
          <w:szCs w:val="24"/>
          <w:highlight w:val="none"/>
        </w:rPr>
        <w:t xml:space="preserve">.</w:t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Из общей суммы задолженности невозможная к взысканию -  31 307,3 тыс. рублей.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Таким образом, Контрольно-счетная палата видит необходимость в  усилении дальнейшей работе с поступлениями доходов от сдачи в аренду  имущества, а также от сдачи в аренду земли.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По договорам коммерческого найма в 2022 году наблюдается  увеличение дебиторской задолженности в 1,4 раза.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В результате анализа расшифровки по договорам коммерческого найма   установлено, что задолженность формируется по одним и тем же  нанимателям из года в год с увеличением к предыдущему периоду.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(всего было 108 млн. руб., стало 210 млн. руб.)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b/>
          <w:bCs/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b/>
          <w:bCs/>
          <w:sz w:val="24"/>
          <w:szCs w:val="24"/>
        </w:rPr>
        <w:t xml:space="preserve">Таким образом, принятие мер по сокращению задолженности  прошлых лет является одним из резервов стабилизации и роста  доходной базы города.</w:t>
      </w:r>
      <w:r>
        <w:rPr>
          <w:b/>
          <w:bCs/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  <w14:ligatures w14:val="none"/>
        </w:rPr>
      </w:r>
      <w:r>
        <w:rPr>
          <w:sz w:val="24"/>
          <w:szCs w:val="24"/>
          <w:highlight w:val="none"/>
          <w14:ligatures w14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b/>
          <w:bCs/>
          <w:sz w:val="24"/>
          <w:szCs w:val="24"/>
          <w:highlight w:val="none"/>
          <w14:ligatures w14:val="none"/>
        </w:rPr>
      </w:pPr>
      <w:r>
        <w:rPr>
          <w:b/>
          <w:bCs/>
          <w:sz w:val="24"/>
          <w:szCs w:val="24"/>
          <w:highlight w:val="none"/>
        </w:rPr>
      </w:r>
      <w:r>
        <w:rPr>
          <w:b/>
          <w:bCs/>
          <w:sz w:val="24"/>
          <w:szCs w:val="24"/>
        </w:rPr>
        <w:t xml:space="preserve">По расходам бюджета.</w:t>
      </w:r>
      <w:r>
        <w:rPr>
          <w:b/>
          <w:bCs/>
          <w:sz w:val="24"/>
          <w:szCs w:val="24"/>
          <w:highlight w:val="none"/>
        </w:rPr>
      </w:r>
      <w:r>
        <w:rPr>
          <w:b/>
          <w:bCs/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b/>
          <w:bCs/>
          <w:sz w:val="24"/>
          <w:szCs w:val="24"/>
          <w:highlight w:val="none"/>
          <w14:ligatures w14:val="none"/>
        </w:rPr>
      </w:pPr>
      <w:r>
        <w:rPr>
          <w:b/>
          <w:bCs/>
          <w:sz w:val="24"/>
          <w:szCs w:val="24"/>
          <w:highlight w:val="none"/>
        </w:rPr>
      </w:r>
      <w:r>
        <w:rPr>
          <w:sz w:val="24"/>
          <w:szCs w:val="24"/>
        </w:rPr>
        <w:t xml:space="preserve">Обращаем внимание, что в ходе исполнения бюджета при проведении   контрольных мероприятий были установлены нарушения пункта 1 статьи   78.1 Бюджетного кодекса Российской Федерации, (предоставление субсидий  на иные цели) пункта 4 статьи 69.2 Бюджетного код</w:t>
      </w:r>
      <w:r>
        <w:rPr>
          <w:sz w:val="24"/>
          <w:szCs w:val="24"/>
        </w:rPr>
        <w:t xml:space="preserve">екса Российской Федерации (порядка формирования муниципального задания и финансового  обеспечения выполнения муниципального задания муниципальных учреждений Анжеро-Судженского городского округа, ответственность за  которые  предусмотрена  Кодекса  </w:t>
      </w:r>
      <w:r>
        <w:rPr>
          <w:sz w:val="24"/>
          <w:szCs w:val="24"/>
        </w:rPr>
        <w:t xml:space="preserve">Российской  Федерации  об </w:t>
      </w:r>
      <w:r>
        <w:rPr>
          <w:sz w:val="24"/>
          <w:szCs w:val="24"/>
        </w:rPr>
        <w:t xml:space="preserve">адми</w:t>
      </w:r>
      <w:r>
        <w:rPr>
          <w:sz w:val="24"/>
          <w:szCs w:val="24"/>
        </w:rPr>
        <w:t xml:space="preserve">нистративных правонарушениях.</w:t>
      </w:r>
      <w:r>
        <w:rPr>
          <w:b/>
          <w:bCs/>
          <w:sz w:val="24"/>
          <w:szCs w:val="24"/>
          <w:highlight w:val="none"/>
        </w:rPr>
      </w:r>
      <w:r>
        <w:rPr>
          <w:b/>
          <w:bCs/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b/>
          <w:bCs/>
          <w:sz w:val="24"/>
          <w:szCs w:val="24"/>
          <w:highlight w:val="none"/>
          <w14:ligatures w14:val="none"/>
        </w:rPr>
      </w:pPr>
      <w:r>
        <w:rPr>
          <w:b/>
          <w:bCs/>
          <w:sz w:val="24"/>
          <w:szCs w:val="24"/>
          <w:highlight w:val="none"/>
        </w:rPr>
      </w:r>
      <w:r>
        <w:rPr>
          <w:sz w:val="24"/>
          <w:szCs w:val="24"/>
        </w:rPr>
        <w:t xml:space="preserve">Установлено нарушение ст. 34 БК РФ, выразившееся в  неэффективном использовании бюджетных средств, связанное с оплатой  услуг представителя, пени, процентов за пользование чужими деньгами,  неустойки, судебных расходов, государственной пошлины в сумме (2 3</w:t>
      </w:r>
      <w:r>
        <w:rPr>
          <w:sz w:val="24"/>
          <w:szCs w:val="24"/>
        </w:rPr>
        <w:t xml:space="preserve">61,1  тыс. рублей, было 6 218,8  тыс. рублей), в большей степени, в результате  несвоевременной оплаты муниципальных контрактов. (исполнено 38,8 млн.  руб., было 94,6 млн. рублей).</w:t>
      </w:r>
      <w:r>
        <w:rPr>
          <w:b/>
          <w:bCs/>
          <w:sz w:val="24"/>
          <w:szCs w:val="24"/>
          <w:highlight w:val="none"/>
        </w:rPr>
      </w:r>
      <w:r>
        <w:rPr>
          <w:b/>
          <w:bCs/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highlight w:val="none"/>
          <w14:ligatures w14:val="none"/>
        </w:rPr>
      </w:pPr>
      <w:r>
        <w:rPr>
          <w:b/>
          <w:bCs/>
          <w:sz w:val="24"/>
          <w:szCs w:val="24"/>
          <w:highlight w:val="none"/>
        </w:rPr>
      </w:r>
      <w:r>
        <w:rPr>
          <w:sz w:val="24"/>
          <w:szCs w:val="24"/>
        </w:rPr>
        <w:t xml:space="preserve">На конец 2022 года долговая нагрузка на бюджет снизилась. Как уже  отмечалось – по сравнению с началом года объем муниципального долга  уменьшился на 5 процентов (94 млн.). Это результат реализации одной из задач муниципальной </w:t>
      </w:r>
      <w:r>
        <w:rPr>
          <w:sz w:val="24"/>
          <w:szCs w:val="24"/>
        </w:rPr>
        <w:t xml:space="preserve">программы </w:t>
      </w:r>
      <w:r>
        <w:rPr>
          <w:sz w:val="24"/>
          <w:szCs w:val="24"/>
        </w:rPr>
        <w:t xml:space="preserve">«Управление муниципальными </w:t>
      </w:r>
      <w:r>
        <w:rPr>
          <w:sz w:val="24"/>
          <w:szCs w:val="24"/>
        </w:rPr>
        <w:t xml:space="preserve">финансами».</w:t>
      </w:r>
      <w:r>
        <w:t xml:space="preserve"> </w:t>
      </w:r>
      <w:r>
        <w:rPr>
          <w:b/>
          <w:bCs/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  <w14:ligatures w14:val="none"/>
        </w:rPr>
      </w:r>
      <w:r>
        <w:rPr>
          <w:sz w:val="24"/>
          <w:szCs w:val="24"/>
          <w:highlight w:val="none"/>
          <w14:ligatures w14:val="none"/>
        </w:rPr>
      </w:r>
    </w:p>
    <w:p>
      <w:pPr>
        <w:contextualSpacing/>
        <w:ind w:left="0" w:right="0" w:firstLine="0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  <w14:ligatures w14:val="none"/>
        </w:rPr>
      </w:r>
      <w:r>
        <w:rPr>
          <w:sz w:val="24"/>
          <w:szCs w:val="24"/>
        </w:rPr>
        <w:t xml:space="preserve">Основные  выводы экспертизы:</w:t>
      </w:r>
      <w:r>
        <w:rPr>
          <w:sz w:val="24"/>
          <w:szCs w:val="24"/>
          <w:highlight w:val="none"/>
          <w14:ligatures w14:val="none"/>
        </w:rPr>
      </w:r>
      <w:r>
        <w:rPr>
          <w:sz w:val="24"/>
          <w:szCs w:val="24"/>
          <w:highlight w:val="none"/>
          <w14:ligatures w14:val="none"/>
        </w:rPr>
      </w:r>
      <w:r>
        <w:rPr>
          <w:sz w:val="24"/>
          <w:szCs w:val="24"/>
          <w:highlight w:val="none"/>
          <w14:ligatures w14:val="none"/>
        </w:rPr>
      </w:r>
      <w:r>
        <w:rPr>
          <w:sz w:val="24"/>
          <w:szCs w:val="24"/>
          <w:highlight w:val="none"/>
          <w14:ligatures w14:val="none"/>
        </w:rPr>
      </w:r>
      <w:r>
        <w:rPr>
          <w:sz w:val="24"/>
          <w:szCs w:val="24"/>
          <w:highlight w:val="none"/>
          <w14:ligatures w14:val="none"/>
        </w:rPr>
      </w:r>
    </w:p>
    <w:p>
      <w:pPr>
        <w:pStyle w:val="621"/>
        <w:numPr>
          <w:ilvl w:val="0"/>
          <w:numId w:val="5"/>
        </w:numPr>
        <w:contextualSpacing/>
        <w:ind w:left="850" w:right="0" w:hanging="283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показатели годового отчета об исполнении бюджета городского  ок</w:t>
      </w:r>
      <w:r>
        <w:rPr>
          <w:sz w:val="24"/>
          <w:szCs w:val="24"/>
        </w:rPr>
        <w:t xml:space="preserve">р</w:t>
      </w:r>
      <w:r>
        <w:rPr>
          <w:sz w:val="24"/>
          <w:szCs w:val="24"/>
        </w:rPr>
        <w:t xml:space="preserve">уга за 2022 год (в тех цифрах, которые уже озвучены в докладе Т.С.)  достоверны и соответствуют показателям доходов, расходов и профицита  бюджета городского округа, установленным по результат</w:t>
      </w:r>
      <w:r>
        <w:rPr>
          <w:sz w:val="24"/>
          <w:szCs w:val="24"/>
        </w:rPr>
        <w:t xml:space="preserve">ам внешней  проверки бюджетной отчетности главных администраторов;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5"/>
        </w:numPr>
        <w:contextualSpacing/>
        <w:ind w:left="850" w:right="0" w:hanging="283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в ходе исполнения бюджета при внесении изменений в бюджет бюджетное законодательство Российской Федерации и иные нормативные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правовые акты, регулирующие бюджетные правоотношения, были  соблюдены;</w:t>
      </w:r>
      <w:r>
        <w:rPr>
          <w:sz w:val="24"/>
          <w:szCs w:val="24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5"/>
        </w:numPr>
        <w:contextualSpacing/>
        <w:ind w:left="850" w:right="0" w:hanging="283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годовой отчет об исполнении бюджета сформирован в полном  объеме и в соответствии с нормативными требованиями его составления и  представления.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Таким образом, Контрольно-счетная палата выражает мнение о  достоверности годового отчета об исполнении бюджета городского округа.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По итогам внешней проверки нами проведены рабочие совещания с  начальником финансового управления. Ряд вопросов отработаны в рабочем  порядке. На бюджетном комитете Совета народных депутатов мной были  изложены основные выводы по результатам внешней провер</w:t>
      </w:r>
      <w:r>
        <w:rPr>
          <w:sz w:val="24"/>
          <w:szCs w:val="24"/>
        </w:rPr>
        <w:t xml:space="preserve">ки</w:t>
      </w:r>
      <w:r>
        <w:rPr>
          <w:sz w:val="24"/>
          <w:szCs w:val="24"/>
        </w:rPr>
        <w:t xml:space="preserve">.</w:t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Основные рекомендации содержатся в Заключении, которые полагаю  целесообразно учесть при рассмотрении законопроекта об исполнении  бюджета  городского округа  за 2022 год.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567"/>
        <w:jc w:val="both"/>
        <w:spacing w:line="283" w:lineRule="exact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  <w14:ligatures w14:val="none"/>
        </w:rPr>
      </w:r>
      <w:r>
        <w:rPr>
          <w:sz w:val="24"/>
          <w:szCs w:val="24"/>
          <w:highlight w:val="none"/>
          <w14:ligatures w14:val="none"/>
        </w:rPr>
      </w:r>
    </w:p>
    <w:p>
      <w:pPr>
        <w:contextualSpacing/>
        <w:ind w:left="0" w:right="0" w:firstLine="0"/>
        <w:jc w:val="both"/>
        <w:spacing w:line="283" w:lineRule="exact"/>
        <w:shd w:val="nil" w:color="000000"/>
        <w:rPr>
          <w:b/>
          <w:bCs/>
          <w:sz w:val="24"/>
          <w:szCs w:val="24"/>
          <w:highlight w:val="none"/>
          <w14:ligatures w14:val="none"/>
        </w:rPr>
      </w:pPr>
      <w:r>
        <w:rPr>
          <w:b/>
          <w:bCs/>
          <w:sz w:val="24"/>
          <w:szCs w:val="24"/>
          <w:highlight w:val="none"/>
        </w:rPr>
      </w:r>
      <w:r>
        <w:rPr>
          <w:b/>
          <w:bCs/>
          <w:sz w:val="24"/>
          <w:szCs w:val="24"/>
        </w:rPr>
        <w:t xml:space="preserve">Спасибо за внимание! </w:t>
      </w:r>
      <w:r>
        <w:rPr>
          <w:b/>
          <w:bCs/>
          <w:sz w:val="24"/>
          <w:szCs w:val="24"/>
          <w:highlight w:val="none"/>
        </w:rPr>
      </w:r>
      <w:r>
        <w:rPr>
          <w:b/>
          <w:bCs/>
          <w:sz w:val="24"/>
          <w:szCs w:val="24"/>
          <w:highlight w:val="none"/>
        </w:rPr>
      </w:r>
    </w:p>
    <w:sectPr>
      <w:footnotePr/>
      <w:endnotePr/>
      <w:type w:val="nextPage"/>
      <w:pgSz w:w="11906" w:h="16838" w:orient="portrait"/>
      <w:pgMar w:top="851" w:right="850" w:bottom="1134" w:left="992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)"/>
      <w:lvlJc w:val="right"/>
      <w:pPr>
        <w:ind w:left="1276" w:hanging="360"/>
      </w:pPr>
      <w:rPr>
        <w:sz w:val="24"/>
      </w:rPr>
    </w:lvl>
    <w:lvl w:ilvl="1">
      <w:start w:val="1"/>
      <w:numFmt w:val="lowerLetter"/>
      <w:isLgl w:val="false"/>
      <w:suff w:val="tab"/>
      <w:lvlText w:val="%2."/>
      <w:lvlJc w:val="left"/>
      <w:pPr>
        <w:ind w:left="1996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716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436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4156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876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596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316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7036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)"/>
      <w:lvlJc w:val="right"/>
      <w:pPr>
        <w:ind w:left="709" w:hanging="360"/>
      </w:pPr>
      <w:rPr>
        <w:sz w:val="24"/>
      </w:rPr>
    </w:lvl>
    <w:lvl w:ilvl="1">
      <w:start w:val="1"/>
      <w:numFmt w:val="lowerLetter"/>
      <w:isLgl w:val="false"/>
      <w:suff w:val="tab"/>
      <w:lvlText w:val="%2."/>
      <w:lvlJc w:val="left"/>
      <w:pPr>
        <w:ind w:left="873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1593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313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033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3753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4473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193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5913" w:hanging="18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)"/>
      <w:lvlJc w:val="right"/>
      <w:pPr>
        <w:ind w:left="1276" w:hanging="360"/>
      </w:pPr>
      <w:rPr>
        <w:sz w:val="24"/>
      </w:rPr>
    </w:lvl>
    <w:lvl w:ilvl="1">
      <w:start w:val="1"/>
      <w:numFmt w:val="lowerLetter"/>
      <w:isLgl w:val="false"/>
      <w:suff w:val="tab"/>
      <w:lvlText w:val="%2."/>
      <w:lvlJc w:val="left"/>
      <w:pPr>
        <w:ind w:left="1996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716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436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4156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876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596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316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7036" w:hanging="180"/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276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996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716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436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4156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876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596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316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7036" w:hanging="180"/>
      </w:p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276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7"/>
    <w:next w:val="617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11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17"/>
    <w:next w:val="617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11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7"/>
    <w:next w:val="617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11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7"/>
    <w:next w:val="617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11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7"/>
    <w:next w:val="617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11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7"/>
    <w:next w:val="617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11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7"/>
    <w:next w:val="617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11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7"/>
    <w:next w:val="617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11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7"/>
    <w:next w:val="617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11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4">
    <w:name w:val="Title"/>
    <w:basedOn w:val="617"/>
    <w:next w:val="617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11"/>
    <w:link w:val="34"/>
    <w:uiPriority w:val="10"/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11"/>
    <w:link w:val="36"/>
    <w:uiPriority w:val="11"/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7"/>
    <w:next w:val="617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7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11"/>
    <w:link w:val="42"/>
    <w:uiPriority w:val="99"/>
  </w:style>
  <w:style w:type="paragraph" w:styleId="44">
    <w:name w:val="Footer"/>
    <w:basedOn w:val="617"/>
    <w:link w:val="4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11"/>
    <w:link w:val="44"/>
    <w:uiPriority w:val="99"/>
  </w:style>
  <w:style w:type="paragraph" w:styleId="46">
    <w:name w:val="Caption"/>
    <w:basedOn w:val="617"/>
    <w:next w:val="617"/>
    <w:link w:val="4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11"/>
    <w:link w:val="46"/>
    <w:uiPriority w:val="35"/>
    <w:rPr>
      <w:b/>
      <w:bCs/>
      <w:color w:val="4f81bd" w:themeColor="accent1"/>
      <w:sz w:val="18"/>
      <w:szCs w:val="18"/>
    </w:rPr>
  </w:style>
  <w:style w:type="table" w:styleId="48">
    <w:name w:val="Table Grid"/>
    <w:basedOn w:val="618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1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1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18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8">
    <w:name w:val="List Table 7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2">
    <w:name w:val="List Table 7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5">
    <w:name w:val="Lined - Accent 2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9">
    <w:name w:val="Lined - Accent 6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2">
    <w:name w:val="Bordered &amp; Lined - Accent 2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6">
    <w:name w:val="Bordered &amp; Lined - Accent 6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11"/>
    <w:uiPriority w:val="99"/>
    <w:unhideWhenUsed/>
    <w:rPr>
      <w:vertAlign w:val="superscript"/>
    </w:rPr>
  </w:style>
  <w:style w:type="paragraph" w:styleId="178">
    <w:name w:val="endnote text"/>
    <w:basedOn w:val="617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11"/>
    <w:uiPriority w:val="99"/>
    <w:semiHidden/>
    <w:unhideWhenUsed/>
    <w:rPr>
      <w:vertAlign w:val="superscript"/>
    </w:rPr>
  </w:style>
  <w:style w:type="paragraph" w:styleId="181">
    <w:name w:val="toc 1"/>
    <w:basedOn w:val="617"/>
    <w:next w:val="617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17"/>
    <w:next w:val="617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17"/>
    <w:next w:val="617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17"/>
    <w:next w:val="617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17"/>
    <w:next w:val="617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17"/>
    <w:next w:val="617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17"/>
    <w:next w:val="617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17"/>
    <w:next w:val="617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17"/>
    <w:next w:val="617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7"/>
    <w:next w:val="617"/>
    <w:uiPriority w:val="99"/>
    <w:unhideWhenUsed/>
    <w:pPr>
      <w:spacing w:after="0" w:afterAutospacing="0"/>
    </w:pPr>
  </w:style>
  <w:style w:type="paragraph" w:styleId="617" w:default="1">
    <w:name w:val="Normal"/>
    <w:qFormat/>
  </w:style>
  <w:style w:type="table" w:styleId="618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19" w:default="1">
    <w:name w:val="No List"/>
    <w:uiPriority w:val="99"/>
    <w:semiHidden/>
    <w:unhideWhenUsed/>
  </w:style>
  <w:style w:type="paragraph" w:styleId="620">
    <w:name w:val="No Spacing"/>
    <w:basedOn w:val="617"/>
    <w:uiPriority w:val="1"/>
    <w:qFormat/>
    <w:pPr>
      <w:spacing w:after="0" w:line="240" w:lineRule="auto"/>
    </w:pPr>
  </w:style>
  <w:style w:type="paragraph" w:styleId="621">
    <w:name w:val="List Paragraph"/>
    <w:basedOn w:val="617"/>
    <w:uiPriority w:val="34"/>
    <w:qFormat/>
    <w:pPr>
      <w:contextualSpacing/>
      <w:ind w:left="720"/>
    </w:pPr>
  </w:style>
  <w:style w:type="character" w:styleId="626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Р7-Офис/2025.3.1.923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panty</cp:lastModifiedBy>
  <cp:revision>1</cp:revision>
  <dcterms:modified xsi:type="dcterms:W3CDTF">2025-10-18T16:05:24Z</dcterms:modified>
</cp:coreProperties>
</file>