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</Types>
</file>

<file path=_rels/.rels><?xml version="1.0" 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vyd="http://volga.yandex.com/schemas/document/model" xmlns:mc="http://schemas.openxmlformats.org/markup-compatibility/2006" w:conformance="transitional" mc:Ignorable="vyd">
  <w:background/>
  <w:body vyd:_id="vyd:mgv1qtflzy4cut">
    <w:p w:rsidR="006531B6" w:rsidRPr="007A3B62" w:rsidRDefault="006531B6" w:rsidP="00A350CE" vyd:_id="vyd:mgv1qtfsf134j3">
      <w:pPr>
        <w:pStyle w:val="Title"/>
        <w:jc w:val="center"/>
        <w:rPr>
          <w:sz w:val="24"/>
          <w:b w:val="1"/>
        </w:rPr>
      </w:pPr>
      <w:r>
        <w:rPr>
          <w:sz w:val="24"/>
          <w:b w:val="1"/>
        </w:rPr>
        <w:t vyd:_id="vyd:mgv1qvuxdyi5gw" xml:space="preserve">Выступление председателя Контрольно-счетной палаты Анжеро-Судженского городского округа на публичных слушаниях по годовому отчету об исполнении бюджета Анжеро-Судженского </w:t>
      </w:r>
    </w:p>
    <w:p w:rsidR="006531B6" w:rsidRPr="007A3B62" w:rsidRDefault="006531B6" w:rsidP="00A350CE" vyd:_id="vyd:mgv1qvuwkklayv">
      <w:pPr>
        <w:pStyle w:val="Title"/>
        <w:jc w:val="center"/>
        <w:rPr>
          <w:sz w:val="24"/>
          <w:b w:val="1"/>
        </w:rPr>
      </w:pPr>
      <w:r>
        <w:rPr>
          <w:sz w:val="24"/>
          <w:b w:val="1"/>
        </w:rPr>
        <w:t vyd:_id="vyd:mgv1qvuvcuujt4">городского округа за 2023 год</w:t>
      </w:r>
    </w:p>
    <w:p w:rsidR="006531B6" w:rsidRPr="007A3B62" w:rsidRDefault="006531B6" w:rsidP="00A350CE" vyd:_id="vyd:mgv1qvuuwna2kk">
      <w:pPr>
        <w:jc w:val="center"/>
        <w:rPr>
          <w:sz w:val="24"/>
        </w:rPr>
      </w:pPr>
      <w:r>
        <w:rPr>
          <w:sz w:val="24"/>
        </w:rPr>
        <w:t vyd:_id="vyd:mgv1qvuul4h6id">(по заключению Контрольно-счетной палаты на годовой отчет об исполнении бюджета за 2023 год)</w:t>
      </w:r>
    </w:p>
    <w:p w:rsidR="006531B6" w:rsidRPr="007A3B62" w:rsidRDefault="006531B6" w:rsidP="00A350CE" vyd:_id="vyd:mgv1qvut1007bw">
      <w:pPr>
        <w:jc w:val="center"/>
        <w:rPr>
          <w:sz w:val="24"/>
        </w:rPr>
      </w:pPr>
    </w:p>
    <w:p w:rsidR="006531B6" w:rsidRPr="007A3B62" w:rsidRDefault="006531B6" w:rsidP="00A350CE" vyd:_id="vyd:mgv1qvus019wzc">
      <w:pPr>
        <w:jc w:val="start"/>
        <w:rPr>
          <w:sz w:val="24"/>
        </w:rPr>
      </w:pPr>
      <w:r>
        <w:rPr>
          <w:sz w:val="24"/>
        </w:rPr>
        <w:t vyd:_id="vyd:mgv1qvurgz3glj" xml:space="preserve">Уважаемый Дмитрий Владимирович! </w:t>
      </w:r>
    </w:p>
    <w:p w:rsidR="006531B6" w:rsidRPr="007A3B62" w:rsidRDefault="006531B6" w:rsidP="00A350CE" vyd:_id="vyd:mgv1qvuq59i6kb">
      <w:pPr>
        <w:jc w:val="start"/>
        <w:rPr>
          <w:sz w:val="24"/>
        </w:rPr>
      </w:pPr>
      <w:r>
        <w:rPr>
          <w:sz w:val="24"/>
        </w:rPr>
        <w:t vyd:_id="vyd:mgv1qvup9enn1y" xml:space="preserve">Уважаемый Вадим Анатольевич! </w:t>
      </w:r>
    </w:p>
    <w:p w:rsidR="006531B6" w:rsidRPr="007A3B62" w:rsidRDefault="006531B6" w:rsidP="00A350CE" vyd:_id="vyd:mgv1qvup8gs4f1">
      <w:pPr>
        <w:jc w:val="start"/>
        <w:rPr>
          <w:sz w:val="24"/>
        </w:rPr>
      </w:pPr>
      <w:r>
        <w:rPr>
          <w:sz w:val="24"/>
        </w:rPr>
        <w:t vyd:_id="vyd:mgv1qvuoa232td" xml:space="preserve">Уважаемые депутаты! </w:t>
      </w:r>
    </w:p>
    <w:p w:rsidR="006531B6" w:rsidRPr="007A3B62" w:rsidRDefault="006531B6" w:rsidP="00A350CE" vyd:_id="vyd:mgv1qvunuhat7y">
      <w:pPr>
        <w:jc w:val="start"/>
      </w:pPr>
      <w:r>
        <w:rPr>
          <w:sz w:val="24"/>
        </w:rPr>
        <w:t vyd:_id="vyd:mgv1qvumtdra9j">Уважаемые участники публичных слушаний!</w:t>
      </w:r>
    </w:p>
    <w:p w:rsidR="006531B6" w:rsidRPr="007A3B62" w:rsidRDefault="006531B6" w:rsidP="00A350CE" vyd:_id="vyd:mgv1qvumcyw340">
      <w:pPr>
        <w:jc w:val="start"/>
        <w:rPr>
          <w:sz w:val="24"/>
        </w:rPr>
      </w:pPr>
    </w:p>
    <w:p w:rsidR="006531B6" w:rsidRPr="007A3B62" w:rsidRDefault="006531B6" w:rsidP="00A350CE" vyd:_id="vyd:mgv1qvulcs5qe7">
      <w:pPr>
        <w:jc w:val="both"/>
        <w:rPr>
          <w:sz w:val="24"/>
        </w:rPr>
      </w:pPr>
      <w:r>
        <w:rPr>
          <w:sz w:val="24"/>
        </w:rPr>
        <w:t vyd:_id="vyd:mgv1qvukdwemwy" xml:space="preserve"> </w:t>
      </w:r>
      <w:r>
        <w:rPr>
          <w:sz w:val="24"/>
        </w:rPr>
        <w:t vyd:_id="vyd:mgv1qvukv2owsf">В соответствии с требованиями бюджетного законодательства Контрольно-счетной палатой проведена внешняя проверка годового отчета об исполнении местного бюджета за 2023 год</w:t>
      </w:r>
      <w:r>
        <w:rPr>
          <w:sz w:val="24"/>
        </w:rPr>
        <w:t vyd:_id="vyd:mgv1qvujysucb3">.</w:t>
      </w:r>
    </w:p>
    <w:p w:rsidR="006531B6" w:rsidRPr="007A3B62" w:rsidRDefault="006531B6" w:rsidP="00A350CE" vyd:_id="vyd:mgv1qvujzvefkc">
      <w:pPr>
        <w:ind w:start="354" w:firstLine="0"/>
        <w:jc w:val="both"/>
        <w:rPr>
          <w:sz w:val="24"/>
        </w:rPr>
      </w:pPr>
      <w:r>
        <w:rPr>
          <w:sz w:val="24"/>
        </w:rPr>
        <w:t vyd:_id="vyd:mgv1qvuhoy0ixj">Традиционно проверка включала три направления:</w:t>
      </w:r>
    </w:p>
    <w:p w:rsidR="006531B6" w:rsidRPr="007A3B62" w:rsidRDefault="006531B6" w:rsidP="00A350CE" vyd:_id="vyd:mgv1qvug6s03fi">
      <w:pPr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vyd:_id="vyd:mgv1qvu5q0zh3d">внешняя проверка годовой бюджетной отчетности главных администраторов бюджетных средств и выборочно их подведомственных учреждений;</w:t>
      </w:r>
    </w:p>
    <w:p w:rsidR="006531B6" w:rsidRPr="007A3B62" w:rsidRDefault="006531B6" w:rsidP="00A350CE" vyd:_id="vyd:mgv1qvu5gquk6a">
      <w:pPr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vyd:_id="vyd:mgv1qvu45r1txo">анализ сводного отчета об исполнении муниципальных программ за 2023 год;</w:t>
      </w:r>
    </w:p>
    <w:p w:rsidR="006531B6" w:rsidRPr="007A3B62" w:rsidRDefault="006531B6" w:rsidP="00A350CE" vyd:_id="vyd:mgv1qvu3sja4q8">
      <w:pPr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vyd:_id="vyd:mgv1qvu22avnsz">подготовка заключения на годовой отчет об исполнении бюджета за 2023 год, который как раз и составлен финансовым управлением администрации Анжеро-Судженского городского округа на основании сводной бюджетной отчетности главных администраторов.</w:t>
      </w:r>
    </w:p>
    <w:p w:rsidR="006531B6" w:rsidRPr="007A3B62" w:rsidRDefault="006531B6" w:rsidP="00A350CE" vyd:_id="vyd:mgv1qvu24nwl3f">
      <w:pPr>
        <w:ind w:start="0" w:end="0"/>
        <w:jc w:val="both"/>
        <w:rPr>
          <w:sz w:val="24"/>
        </w:rPr>
      </w:pPr>
      <w:r>
        <w:rPr>
          <w:sz w:val="24"/>
        </w:rPr>
        <w:t vyd:_id="vyd:mgv1qvu18gj4j7" xml:space="preserve">   Целью проведения внешней проверки, напомню, является установление достоверности годового отчета об исполнении бюджета и бюджетной отчетности главных администраторов бюджетных средств, законности и результативности деятельности по исполнению местного бюджета в отчетном финансовом году.</w:t>
      </w:r>
    </w:p>
    <w:p w:rsidR="006531B6" w:rsidRPr="007A3B62" w:rsidRDefault="006531B6" w:rsidP="00A350CE" vyd:_id="vyd:mgv1qvu0y9q78u">
      <w:pPr>
        <w:ind w:start="0" w:end="0"/>
        <w:jc w:val="both"/>
        <w:rPr>
          <w:sz w:val="24"/>
        </w:rPr>
      </w:pPr>
    </w:p>
    <w:p w:rsidR="006531B6" w:rsidRPr="007A3B62" w:rsidRDefault="006531B6" w:rsidP="00A350CE" vyd:_id="vyd:mgv1qvtzh5425h">
      <w:pPr>
        <w:ind w:start="0" w:end="0"/>
        <w:jc w:val="both"/>
        <w:rPr>
          <w:sz w:val="24"/>
          <w:u w:val="single"/>
        </w:rPr>
      </w:pPr>
      <w:r>
        <w:rPr>
          <w:sz w:val="24"/>
          <w:u w:val="single"/>
        </w:rPr>
        <w:t vyd:_id="vyd:mgv1qvtyrnwwvn">Что касается первого направления.</w:t>
      </w:r>
    </w:p>
    <w:p w:rsidR="006531B6" w:rsidRPr="007A3B62" w:rsidRDefault="006531B6" w:rsidP="00A350CE" vyd:_id="vyd:mgv1qvtyy7t76a">
      <w:pPr>
        <w:ind w:start="0" w:end="0"/>
        <w:jc w:val="both"/>
        <w:rPr>
          <w:sz w:val="24"/>
        </w:rPr>
      </w:pPr>
      <w:r>
        <w:rPr>
          <w:sz w:val="24"/>
        </w:rPr>
        <w:t vyd:_id="vyd:mgv1qvtxnpruwx" xml:space="preserve">    </w:t>
      </w:r>
      <w:r>
        <w:rPr>
          <w:sz w:val="24"/>
        </w:rPr>
        <w:t vyd:_id="vyd:mgv1qvtw2zvwys">В Контрольно-счетную палату представлена годовая бюджетная отчетность 10 главными администраторами бюджетных средств. В общей сложности проверено 43 учреждения.</w:t>
      </w:r>
    </w:p>
    <w:p w:rsidR="006531B6" w:rsidRPr="007A3B62" w:rsidRDefault="006531B6" w:rsidP="00A350CE" vyd:_id="vyd:mgv1qvtw3f6y73">
      <w:pPr>
        <w:ind w:start="0" w:end="0"/>
        <w:jc w:val="both"/>
        <w:rPr>
          <w:sz w:val="24"/>
        </w:rPr>
      </w:pPr>
      <w:r>
        <w:rPr>
          <w:sz w:val="24"/>
        </w:rPr>
        <w:t vyd:_id="vyd:mgv1qvtv2poijx" xml:space="preserve">   </w:t>
      </w:r>
      <w:r>
        <w:rPr>
          <w:sz w:val="24"/>
        </w:rPr>
        <w:t vyd:_id="vyd:mgv1qvtuh6g1ql">По оценке качества финансового менеджмента Контрольно-счетной палаты максимальный балл из трех показателей получили 2 ГРСБ (управление образования и ужкх) ( прошлом году – никто), т. е качество предоставления отчетности по отдельным ГРБС повысилось.</w:t>
      </w:r>
    </w:p>
    <w:p w:rsidR="006531B6" w:rsidRPr="007A3B62" w:rsidRDefault="006531B6" w:rsidP="00A350CE" vyd:_id="vyd:mgv1qvtupajqj4">
      <w:pPr>
        <w:ind w:start="0" w:end="0"/>
        <w:jc w:val="both"/>
        <w:rPr>
          <w:sz w:val="24"/>
        </w:rPr>
      </w:pPr>
      <w:r>
        <w:rPr>
          <w:sz w:val="24"/>
        </w:rPr>
        <w:t vyd:_id="vyd:mgv1qvttifk47x" xml:space="preserve">    Сумма нарушений осталась на уровне 2022 года (2021 - 1,5 млрд. руб., 2022 - 3, 23 млрд. рублей, 2023 – 3,3 млрд. рублей). Если бы не переоценка ЗУ, которая некорректна отразилась в Главной книге КФСИМ сумма нарушений была бы на 70% меньше. Показатель был меньше, чем в 2021 году.</w:t>
      </w:r>
    </w:p>
    <w:p w:rsidR="006531B6" w:rsidRPr="007A3B62" w:rsidRDefault="006531B6" w:rsidP="00A350CE" vyd:_id="vyd:mgv1qvts368yyz">
      <w:pPr>
        <w:ind w:start="0" w:end="0"/>
        <w:jc w:val="both"/>
        <w:rPr>
          <w:sz w:val="24"/>
          <w:u w:val="single"/>
        </w:rPr>
      </w:pPr>
    </w:p>
    <w:p w:rsidR="006531B6" w:rsidRPr="007A3B62" w:rsidRDefault="006531B6" w:rsidP="00A350CE" vyd:_id="vyd:mgv1qvtrcmguqp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tq6q0q3u">На повышение качества предоставления отчетности в КСР необходимо обратить руководителям следующих ГА (Р)БС:</w:t>
      </w:r>
    </w:p>
    <w:p w:rsidR="006531B6" w:rsidRPr="007A3B62" w:rsidRDefault="006531B6" w:rsidP="00A350CE" vyd:_id="vyd:mgv1qvtqhbl09c">
      <w:pPr>
        <w:ind w:start="0" w:end="0"/>
        <w:jc w:val="both"/>
        <w:rPr>
          <w:sz w:val="24"/>
        </w:rPr>
      </w:pPr>
      <w:r>
        <w:rPr>
          <w:sz w:val="24"/>
        </w:rPr>
        <w:t vyd:_id="vyd:mgv1qvto12psoy" xml:space="preserve">       Администрации Анжеро-Судженского городского округа (в части Инструкция 33н);</w:t>
      </w:r>
    </w:p>
    <w:p w:rsidR="006531B6" w:rsidRPr="007A3B62" w:rsidRDefault="006531B6" w:rsidP="00A350CE" vyd:_id="vyd:mgv1qvtnpwavyc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tlrh1alv">Комитет по управлению муниципальным имуществом администрации Анжеро-Судженского городского округа (!!!!);</w:t>
      </w:r>
    </w:p>
    <w:p w:rsidR="006531B6" w:rsidRPr="007A3B62" w:rsidRDefault="006531B6" w:rsidP="00A350CE" vyd:_id="vyd:mgv1qvtkaj3xsq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tjudykmf">Управление социальной защиты населения администрации Анжеро Судженского городского округа;</w:t>
      </w:r>
    </w:p>
    <w:p w:rsidR="006531B6" w:rsidRPr="007A3B62" w:rsidRDefault="006531B6" w:rsidP="00A350CE" vyd:_id="vyd:mgv1qvtj49xfy2">
      <w:pPr>
        <w:ind w:start="0" w:end="0" w:firstLine="424.8"/>
        <w:jc w:val="both"/>
        <w:rPr>
          <w:sz w:val="24"/>
          <w:b w:val="1"/>
        </w:rPr>
      </w:pPr>
      <w:r>
        <w:rPr>
          <w:sz w:val="24"/>
        </w:rPr>
        <w:t vyd:_id="vyd:mgv1qvtilkyful" xml:space="preserve">Управление культуры городского округа. администрации Анжеро-Судженского </w:t>
      </w:r>
      <w:r>
        <w:rPr>
          <w:sz w:val="24"/>
          <w:b w:val="1"/>
        </w:rPr>
        <w:t vyd:_id="vyd:mgv1qvthw9x8md">Главные книги как пирожки. Отсутствует внутренний контроль при предоставлении главных книг и отчетности в КСП.</w:t>
      </w:r>
    </w:p>
    <w:p w:rsidR="006531B6" w:rsidRPr="007A3B62" w:rsidRDefault="006531B6" w:rsidP="00A350CE" vyd:_id="vyd:mgv1qvthqk7n5j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tg5q2tsj">Была проведена разъяснительная работа, привлечены к дисциплинарной ответственности.</w:t>
      </w:r>
    </w:p>
    <w:p w:rsidR="006531B6" w:rsidRPr="007A3B62" w:rsidRDefault="006531B6" w:rsidP="00A350CE" vyd:_id="vyd:mgv1qvtg4g4ipi">
      <w:pPr>
        <w:ind w:start="0" w:end="0" w:firstLine="424.8"/>
        <w:jc w:val="both"/>
        <w:rPr>
          <w:sz w:val="24"/>
          <w:b w:val="1"/>
        </w:rPr>
      </w:pPr>
    </w:p>
    <w:p w:rsidR="006531B6" w:rsidRPr="007A3B62" w:rsidRDefault="006531B6" w:rsidP="00A350CE" vyd:_id="vyd:mgv1qvtezgwtgf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teg0uywd">КСП АСГО отмечены факты неполноты, недостоверности и иных недостатков годовой отчетности у 6 из 10 ГА(Р)БС, что составляет 60% от общего числа ГА(Р)БС (8 из 10 в 2022 г.)</w:t>
      </w:r>
    </w:p>
    <w:p w:rsidR="006531B6" w:rsidRPr="007A3B62" w:rsidRDefault="006531B6" w:rsidP="00A350CE" vyd:_id="vyd:mgv1qvtd3h6025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tc7xn31p">В 2022 году наблюдается снижение количества ГА(Р)БС, допустивших искажение и иные неточности бюджетной и бухгалтерской отчетности (в 2022 году – искажение отчетности было отмечено у 8 ГА(Р)БС).</w:t>
      </w:r>
    </w:p>
    <w:p w:rsidR="006531B6" w:rsidRPr="007A3B62" w:rsidRDefault="006531B6" w:rsidP="00A350CE" vyd:_id="vyd:mgv1qvtc7fytsi">
      <w:pPr>
        <w:ind w:start="0" w:end="0" w:firstLine="424.8"/>
        <w:jc w:val="both"/>
        <w:rPr>
          <w:sz w:val="24"/>
        </w:rPr>
      </w:pPr>
    </w:p>
    <w:p w:rsidR="006531B6" w:rsidRPr="007A3B62" w:rsidRDefault="006531B6" w:rsidP="00A350CE" vyd:_id="vyd:mgv1qvta54twum">
      <w:pPr>
        <w:ind w:start="0" w:end="0" w:firstLine="0"/>
        <w:jc w:val="both"/>
        <w:rPr>
          <w:sz w:val="24"/>
        </w:rPr>
      </w:pPr>
      <w:r>
        <w:rPr>
          <w:sz w:val="24"/>
        </w:rPr>
        <w:t vyd:_id="vyd:mgv1qvtads2c3d">Обратить внимание на сопровождение ПП по БУ. Снимется 70-80% нарушений. Некорректно ложатся данные по счетам, 20—30% человеческий фактор.</w:t>
      </w:r>
    </w:p>
    <w:p w:rsidR="006531B6" w:rsidRPr="007A3B62" w:rsidRDefault="006531B6" w:rsidP="00A350CE" vyd:_id="vyd:mgv1qvt9d0uxtj">
      <w:pPr>
        <w:ind w:start="0" w:end="0" w:firstLine="0"/>
        <w:jc w:val="both"/>
        <w:rPr>
          <w:sz w:val="24"/>
        </w:rPr>
      </w:pPr>
      <w:r>
        <w:rPr>
          <w:sz w:val="24"/>
        </w:rPr>
        <w:t vyd:_id="vyd:mgv1qvt81c9r2w">Подкинули проблем Минфин. Когда все сдались в Финуправление в феврале, вступили в силу изменения в Инструкции по предоставлению бюджетной и бухгалтерской отчетности за 2023 год. Оперативно все стали корректировать отчетность, что также повлияло на качество предоставления отчетности в КСП.</w:t>
      </w:r>
    </w:p>
    <w:p w:rsidR="006531B6" w:rsidRPr="007A3B62" w:rsidRDefault="006531B6" w:rsidP="00A350CE" vyd:_id="vyd:mgv1qvt8owwk24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t7ydg7bz">Как и прежде, основные нарушения выявлены по показателям представленных Главных книг и Балансов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бюджета, Балансов (муниципального) учреждения, а также отчетов об исполнении бюджета, отчетов о бюджетных обязательствах, Справок по заключению счетов бюджетного учета, что опосредовано, может влиять на достоверность отчета об исполнении бюджета города в целом.</w:t>
      </w:r>
    </w:p>
    <w:p w:rsidR="006531B6" w:rsidRPr="007A3B62" w:rsidRDefault="006531B6" w:rsidP="00A350CE" vyd:_id="vyd:mgv1qvt63dukwb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t54ue57h">Не в полной мере исполнены рекомендации Контрольно-счетной палаты по реализации главными администраторами полномочий по 2 осуществлению внутреннего финансового контроля и аудита, установленных статьей 1602-1 Бюджетного кодекса. Поэтому указанная рекомендация остается актуальной и по итогам внешней проверки за 2022 год.</w:t>
      </w:r>
    </w:p>
    <w:p w:rsidR="006531B6" w:rsidRPr="007A3B62" w:rsidRDefault="006531B6" w:rsidP="00A350CE" vyd:_id="vyd:mgv1qvt5bskp0a">
      <w:pPr>
        <w:ind w:start="0" w:end="0" w:firstLine="0"/>
        <w:jc w:val="both"/>
        <w:rPr>
          <w:sz w:val="24"/>
          <w:b w:val="1"/>
        </w:rPr>
      </w:pPr>
      <w:r>
        <w:rPr>
          <w:sz w:val="24"/>
          <w:b w:val="1"/>
        </w:rPr>
        <w:t vyd:_id="vyd:mgv1qvt48yu4zs">Контрольно-счетная палата видит необходимым принятие мер, направленных на совершенствование проведения внутренних аудиторских проверок достоверности бюджетной отчетности и порядка ведения бюджетного учета главными администраторами бюджетных средств, осуществившими передачу полномочий по ведению бюджетного учета, составлению и представлению бюджетной отчетности в ЦБ.</w:t>
      </w:r>
    </w:p>
    <w:p w:rsidR="006531B6" w:rsidRPr="007A3B62" w:rsidRDefault="006531B6" w:rsidP="00A350CE" vyd:_id="vyd:mgv1qvt3ko1zgq">
      <w:pPr>
        <w:ind w:start="0" w:end="0" w:firstLine="0"/>
        <w:jc w:val="both"/>
        <w:rPr>
          <w:sz w:val="24"/>
          <w:u w:val="single"/>
        </w:rPr>
      </w:pPr>
      <w:r>
        <w:rPr>
          <w:sz w:val="24"/>
          <w:u w:val="single"/>
        </w:rPr>
        <w:t vyd:_id="vyd:mgv1qvt2d6g049">По второму направлению:</w:t>
      </w:r>
    </w:p>
    <w:p w:rsidR="006531B6" w:rsidRPr="007A3B62" w:rsidRDefault="006531B6" w:rsidP="00A350CE" vyd:_id="vyd:mgv1qvt219c4rj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t1cvpn5l">По результатам анализа сводного отчета об исполнении муниципальных программ за 2023 год, представленного в Контрольно счетную палату Управлением экономики, промышленности. Контрольно счетная палата отмечает следующее.</w:t>
      </w:r>
    </w:p>
    <w:p w:rsidR="006531B6" w:rsidRPr="007A3B62" w:rsidRDefault="006531B6" w:rsidP="00A350CE" vyd:_id="vyd:mgv1qvt04nbzs0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sz0tuyx4" xml:space="preserve">Контрольно-счетной палатой по данным сводного отчета проанализированы показатели 14 муниципальных программ. </w:t>
      </w:r>
    </w:p>
    <w:p w:rsidR="006531B6" w:rsidRPr="007A3B62" w:rsidRDefault="006531B6" w:rsidP="00A350CE" vyd:_id="vyd:mgv1qvszf3u4t1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sybwxi94" xml:space="preserve">По результатам оценки эффективности программ за 2023 год определено, что с высоким уровнем эффективности реализовано 11 программ, 2 программы с запланированным уровнем эффективности и 1 программа с низким уровнем эффективности. </w:t>
      </w:r>
    </w:p>
    <w:p w:rsidR="006531B6" w:rsidRPr="007A3B62" w:rsidRDefault="006531B6" w:rsidP="00A350CE" vyd:_id="vyd:mgv1qvsx9u9qsw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swk0pnvw">– «Создание условий для повышения эффективности муниципального управления», «Управление муниципальными финансами АСГО» (в 2022 году был высокий уровень).</w:t>
      </w:r>
    </w:p>
    <w:p w:rsidR="006531B6" w:rsidRPr="007A3B62" w:rsidRDefault="006531B6" w:rsidP="00A350CE" vyd:_id="vyd:mgv1qvsw6zt2ty">
      <w:pPr>
        <w:ind w:start="0" w:end="0" w:firstLine="424.8"/>
        <w:jc w:val="both"/>
        <w:rPr>
          <w:sz w:val="24"/>
          <w:b w:val="1"/>
          <w:i w:val="1"/>
        </w:rPr>
      </w:pPr>
      <w:r>
        <w:rPr>
          <w:sz w:val="24"/>
          <w:b w:val="1"/>
          <w:i w:val="1"/>
        </w:rPr>
        <w:t vyd:_id="vyd:mgv1qvsvdno5ch">«Доля выпадающих доходов бюджета Анжеро-Судженского городского округа (ОС3)» выполнен на 94,0%. Превышение показателя по факту исполнения от планового на 0,5% произошло за счет значительного роста налоговых расходов в 2022 году на 28,9% или на 10 958,0 тыс. рублей (2022г. – 48 824,0 тыс. рублей, 2021г. – 37 879,0 тыс. рублей). Рост произошел по земельному налогу на земельные участки, предоставленные учреждениям, (казенным, бюджетным, автономным), финансируемым из местного бюджета АСГО.</w:t>
      </w:r>
    </w:p>
    <w:p w:rsidR="006531B6" w:rsidRPr="007A3B62" w:rsidRDefault="006531B6" w:rsidP="00A350CE" vyd:_id="vyd:mgv1qvsuxj8ged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st86oynr">1 МП с «низким» уровнем - «Обеспечение доступным и комфортным жильем и коммунальными услугами. Строительство»,</w:t>
      </w:r>
    </w:p>
    <w:p w:rsidR="006531B6" w:rsidRPr="007A3B62" w:rsidRDefault="006531B6" w:rsidP="00A350CE" vyd:_id="vyd:mgv1qvstkaw3zk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sskz130h">В ходе анализа исполнения программных расходов городского бюджета установлено, что наименьший уровень кассового исполнения сложился по МП «Комплексные мероприятия по повышению энергоэффективности жилищно-коммунального хозяйства на территории Анжеро-Судженского городского округа» (96,2 %) и «Обеспечение доступным и комфортным жильем и коммунальными услугами. Строительство» (91,7 %), но выше, чем в прошлом периоде.</w:t>
      </w:r>
    </w:p>
    <w:p w:rsidR="006531B6" w:rsidRPr="007A3B62" w:rsidRDefault="006531B6" w:rsidP="00A350CE" vyd:_id="vyd:mgv1qvsrraqpcg">
      <w:pPr>
        <w:ind w:start="0" w:end="0" w:firstLine="424.8"/>
        <w:jc w:val="both"/>
        <w:rPr>
          <w:sz w:val="24"/>
        </w:rPr>
      </w:pPr>
    </w:p>
    <w:p w:rsidR="006531B6" w:rsidRPr="007A3B62" w:rsidRDefault="006531B6" w:rsidP="00A350CE" vyd:_id="vyd:mgv1qvsq7lwl4x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spklq3lr" xml:space="preserve">Как уже ранее отмечала Контрольно-счетная палата, по ряду программ наблюдается дисбаланс между оценкой эффективности программы и уровнем </w:t>
      </w:r>
      <w:r>
        <w:rPr>
          <w:sz w:val="24"/>
        </w:rPr>
        <w:t vyd:_id="vyd:mgv1qvspks96be">затрат, что может свидетельствовать об отсутствии взаимосвязи ресурсов и результатов реализации программы.</w:t>
      </w:r>
    </w:p>
    <w:p w:rsidR="006531B6" w:rsidRPr="007A3B62" w:rsidRDefault="006531B6" w:rsidP="00A350CE" vyd:_id="vyd:mgv1qvso0lzcxx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sn2ab9ln">Проанализировав исполнение целевых показателей, КСП АСГО отмечает увеличение по количеству неисполненных целевых показателей к 2022 году на 14 единиц , из них 8 – по МП «Строительство».</w:t>
      </w:r>
    </w:p>
    <w:p w:rsidR="006531B6" w:rsidRPr="007A3B62" w:rsidRDefault="006531B6" w:rsidP="00A350CE" vyd:_id="vyd:mgv1qvsnn45npr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sm9fbwg5" xml:space="preserve">Снизился средний уровень достижения целевых показателей на 0,2 процентных пункта </w:t>
      </w:r>
      <w:r>
        <w:rPr>
          <w:sz w:val="24"/>
        </w:rPr>
        <w:t vyd:_id="vyd:mgv1qvsl5gik15">(прошлый год - снижение по количеству неисполненных целевых показателей к 2021 году на 19 единиц. Повысился средний уровень достижения целевых показателей на 2,3 процентных пункта).</w:t>
      </w:r>
    </w:p>
    <w:p w:rsidR="006531B6" w:rsidRPr="007A3B62" w:rsidRDefault="006531B6" w:rsidP="00A350CE" vyd:_id="vyd:mgv1qvslc930k2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skl0a5qy">Согласно заключениям, направленным директорам программ, КСП АСГО установила ряд системных нарушений и недостатков в ходе финансово-экономической экспертизы Сводного отчета по МП за 2023 год:</w:t>
      </w:r>
    </w:p>
    <w:p w:rsidR="006531B6" w:rsidRPr="007A3B62" w:rsidRDefault="006531B6" w:rsidP="00A350CE" vyd:_id="vyd:mgv1qvsjofoedy">
      <w:pPr>
        <w:numPr>
          <w:ilvl w:val="0"/>
          <w:numId w:val="2"/>
        </w:numPr>
        <w:ind w:start="0" w:firstLine="360"/>
        <w:jc w:val="both"/>
        <w:rPr>
          <w:sz w:val="24"/>
        </w:rPr>
      </w:pPr>
      <w:r>
        <w:rPr>
          <w:sz w:val="24"/>
        </w:rPr>
        <w:t vyd:_id="vyd:mgv1qvsjeh1niv">Неразмещение или нарушение сроков размещения муниципальных программ и внесение изменений в них в ГИС «Управление» (Культура, туризм - исправились).</w:t>
      </w:r>
    </w:p>
    <w:p w:rsidR="006531B6" w:rsidRPr="007A3B62" w:rsidRDefault="006531B6" w:rsidP="00A350CE" vyd:_id="vyd:mgv1qvsia34r3q">
      <w:pPr>
        <w:numPr>
          <w:ilvl w:val="0"/>
          <w:numId w:val="2"/>
        </w:numPr>
        <w:ind w:start="0" w:firstLine="360"/>
        <w:jc w:val="both"/>
        <w:rPr>
          <w:sz w:val="24"/>
        </w:rPr>
      </w:pPr>
      <w:r>
        <w:rPr>
          <w:sz w:val="24"/>
        </w:rPr>
        <w:t vyd:_id="vyd:mgv1qvshrjttrw">Не указываются причины невыполнения показателей программы, либо указываются, но не объясняют по факту невыполнение.</w:t>
      </w:r>
    </w:p>
    <w:p w:rsidR="006531B6" w:rsidRPr="007A3B62" w:rsidRDefault="006531B6" w:rsidP="00A350CE" vyd:_id="vyd:mgv1qvsgz99yoe">
      <w:pPr>
        <w:numPr>
          <w:ilvl w:val="0"/>
          <w:numId w:val="2"/>
        </w:numPr>
        <w:ind w:start="0" w:firstLine="360"/>
        <w:jc w:val="both"/>
        <w:rPr>
          <w:sz w:val="24"/>
        </w:rPr>
      </w:pPr>
      <w:r>
        <w:rPr>
          <w:sz w:val="24"/>
        </w:rPr>
        <w:t vyd:_id="vyd:mgv1qvsfmvwe8x">Неверный подсчет процентов исполнения МП.</w:t>
      </w:r>
    </w:p>
    <w:p w:rsidR="006531B6" w:rsidRPr="007A3B62" w:rsidRDefault="006531B6" w:rsidP="00A350CE" vyd:_id="vyd:mgv1qvsfx2c74i">
      <w:pPr>
        <w:numPr>
          <w:ilvl w:val="0"/>
          <w:numId w:val="2"/>
        </w:numPr>
        <w:ind w:start="0" w:firstLine="360"/>
        <w:jc w:val="both"/>
        <w:rPr>
          <w:sz w:val="24"/>
        </w:rPr>
      </w:pPr>
      <w:r>
        <w:rPr>
          <w:sz w:val="24"/>
        </w:rPr>
        <w:t vyd:_id="vyd:mgv1qvsem1gzam">В культуре не указаны показатели (индикаторы) регионального проекта «Культурная среда).</w:t>
      </w:r>
    </w:p>
    <w:p w:rsidR="006531B6" w:rsidRPr="007A3B62" w:rsidRDefault="006531B6" w:rsidP="00A350CE" vyd:_id="vyd:mgv1qvsdidusxz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scqfq7pu">В ходе анализа сводного Отчета об исполнении МП КСП АСГО отмечает взаимосвязь целевых показателей муниципальных программ с показателями региональных проектов.</w:t>
      </w:r>
    </w:p>
    <w:p w:rsidR="006531B6" w:rsidRPr="007A3B62" w:rsidRDefault="006531B6" w:rsidP="00A350CE" vyd:_id="vyd:mgv1qvscf0wrha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sbieu50d">К сожалению, в данном отчетном году при формировании сводного отчета по МП и направленному в Контрольно-счетную палату, как и в прошлом году, Управлением экономики, промышленности опять были допущены многочисленные ошибки, а одну программу вообще упустили.</w:t>
      </w:r>
    </w:p>
    <w:p w:rsidR="006531B6" w:rsidRPr="007A3B62" w:rsidRDefault="006531B6" w:rsidP="00A350CE" vyd:_id="vyd:mgv1qvsb0pppha">
      <w:pPr>
        <w:ind w:start="0" w:end="0" w:firstLine="424.8"/>
        <w:jc w:val="both"/>
      </w:pPr>
    </w:p>
    <w:p w:rsidR="006531B6" w:rsidRPr="007A3B62" w:rsidRDefault="006531B6" w:rsidP="00A350CE" vyd:_id="vyd:mgv1qvs98z8uka">
      <w:pPr>
        <w:ind w:start="0" w:end="0" w:firstLine="424.8"/>
        <w:jc w:val="both"/>
        <w:rPr>
          <w:sz w:val="24"/>
          <w:u w:val="single"/>
        </w:rPr>
      </w:pPr>
      <w:r>
        <w:rPr>
          <w:sz w:val="24"/>
          <w:u w:val="single"/>
        </w:rPr>
        <w:t vyd:_id="vyd:mgv1qvs9z1fei9">Что касается третьего направления.</w:t>
      </w:r>
    </w:p>
    <w:p w:rsidR="006531B6" w:rsidRPr="007A3B62" w:rsidRDefault="006531B6" w:rsidP="00A350CE" vyd:_id="vyd:mgv1qvs8v0exoe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s7xvh6ze">Что касается третьего направления. Годовой отчет об исполнении бюджета представлен в Контрольно счетную палату с соблюдением сроков и в соответствии с требованиями, установленными Положением о бюджетном процессе.</w:t>
      </w:r>
    </w:p>
    <w:p w:rsidR="006531B6" w:rsidRPr="007A3B62" w:rsidRDefault="006531B6" w:rsidP="00A350CE" vyd:_id="vyd:mgv1qvs6t02x49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s5f4qnpe">По итогам внешней проверки было подготовлено соответствующее заключение, которое направлено в Совет народных депутатов и главе городского округа.</w:t>
      </w:r>
    </w:p>
    <w:p w:rsidR="006531B6" w:rsidRPr="007A3B62" w:rsidRDefault="006531B6" w:rsidP="00A350CE" vyd:_id="vyd:mgv1qvs54epa2u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s4w49pgb">Однако есть обстоятельства, которые Контрольно-счетная палата считает необходимым озвучить по итогам исполнения прошедшего финансового года поскольку, на наш взгляд, они требуют внимания при исполнении бюджета в текущем финансовом году.</w:t>
      </w:r>
    </w:p>
    <w:p w:rsidR="006531B6" w:rsidRPr="007A3B62" w:rsidRDefault="006531B6" w:rsidP="00A350CE" vyd:_id="vyd:mgv1qvs3i52m3b">
      <w:pPr>
        <w:ind w:start="0" w:end="0" w:firstLine="424.8"/>
        <w:jc w:val="both"/>
        <w:rPr>
          <w:sz w:val="24"/>
        </w:rPr>
      </w:pPr>
    </w:p>
    <w:p w:rsidR="006531B6" w:rsidRPr="007A3B62" w:rsidRDefault="006531B6" w:rsidP="00A350CE" vyd:_id="vyd:mgv1qvs29yzxff">
      <w:pPr>
        <w:ind w:start="0" w:end="0" w:firstLine="0"/>
        <w:jc w:val="both"/>
        <w:rPr>
          <w:sz w:val="24"/>
          <w:b w:val="1"/>
        </w:rPr>
      </w:pPr>
      <w:r>
        <w:rPr>
          <w:sz w:val="24"/>
          <w:b w:val="1"/>
        </w:rPr>
        <w:t vyd:_id="vyd:mgv1qvs1u3jtpv">По доходам бюджета.</w:t>
      </w:r>
    </w:p>
    <w:p w:rsidR="006531B6" w:rsidRPr="007A3B62" w:rsidRDefault="006531B6" w:rsidP="00A350CE" vyd:_id="vyd:mgv1qvs1s0m5xo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s07es2br" xml:space="preserve">Динамика объема поступающих доходов имеет </w:t>
      </w:r>
      <w:r>
        <w:rPr>
          <w:sz w:val="24"/>
          <w:b w:val="1"/>
        </w:rPr>
        <w:t vyd:_id="vyd:mgv1qvs05my6jv">тенденцию к снижению относительно предыдущего периода (7,9%)</w:t>
      </w:r>
      <w:r>
        <w:rPr>
          <w:sz w:val="24"/>
        </w:rPr>
        <w:t vyd:_id="vyd:mgv1qvrzshutc2">.</w:t>
      </w:r>
    </w:p>
    <w:p w:rsidR="006531B6" w:rsidRPr="007A3B62" w:rsidRDefault="006531B6" w:rsidP="00A350CE" vyd:_id="vyd:mgv1qvrzlxks9y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rykd271t" xml:space="preserve">При этом, </w:t>
      </w:r>
      <w:r>
        <w:rPr>
          <w:sz w:val="24"/>
          <w:u w:val="single"/>
        </w:rPr>
        <w:t vyd:_id="vyd:mgv1qvrxbgm1yj">налоговые доходы</w:t>
      </w:r>
      <w:r>
        <w:rPr>
          <w:sz w:val="24"/>
        </w:rPr>
        <w:t vyd:_id="vyd:mgv1qvrxbp1tdr" xml:space="preserve"> увеличились на 21,7% (НДФЛ и имущественные налоги) </w:t>
      </w:r>
      <w:r>
        <w:rPr>
          <w:sz w:val="24"/>
          <w:b w:val="1"/>
        </w:rPr>
        <w:t vyd:_id="vyd:mgv1qvrx60gkvo">Доля налоговых доходов 86,3% в общем объеме налоговых и налоговых доходах</w:t>
      </w:r>
      <w:r>
        <w:rPr>
          <w:sz w:val="24"/>
        </w:rPr>
        <w:t vyd:_id="vyd:mgv1qvrwvzhb1g">.</w:t>
      </w:r>
    </w:p>
    <w:p w:rsidR="006531B6" w:rsidRPr="007A3B62" w:rsidRDefault="006531B6" w:rsidP="00A350CE" vyd:_id="vyd:mgv1qvrwlb2air">
      <w:pPr>
        <w:ind w:start="0" w:end="0" w:firstLine="424.8"/>
        <w:jc w:val="both"/>
        <w:rPr>
          <w:sz w:val="24"/>
        </w:rPr>
      </w:pPr>
      <w:r>
        <w:rPr>
          <w:sz w:val="24"/>
          <w:b w:val="1"/>
        </w:rPr>
        <w:t vyd:_id="vyd:mgv1qvrv58m5rl">Увеличение задолженности по НДФЛ и УСН (7,5 млн руб. + 1,2 млн. руб. (53,5%) и 217,4 тыс. руб. (10,1%), по ЕНВД (в 3,7 раза), имущество ФЛ (на 9,2%), земельный налог (29%)</w:t>
      </w:r>
      <w:r>
        <w:rPr>
          <w:sz w:val="24"/>
        </w:rPr>
        <w:t vyd:_id="vyd:mgv1qvrvvsawj7">. Вместе с тем, увеличивается и недоимка по налоговым платежам.</w:t>
      </w:r>
    </w:p>
    <w:p w:rsidR="006531B6" w:rsidRPr="007A3B62" w:rsidRDefault="006531B6" w:rsidP="00A350CE" vyd:_id="vyd:mgv1qvruj5n6we">
      <w:pPr>
        <w:ind w:start="0" w:end="0" w:firstLine="424.8"/>
        <w:jc w:val="both"/>
        <w:rPr>
          <w:sz w:val="24"/>
        </w:rPr>
      </w:pPr>
      <w:r>
        <w:rPr>
          <w:sz w:val="24"/>
          <w:u w:val="single"/>
        </w:rPr>
        <w:t vyd:_id="vyd:mgv1qvrt7s49xo">Неналоговые доходы</w:t>
      </w:r>
      <w:r>
        <w:rPr>
          <w:sz w:val="24"/>
        </w:rPr>
        <w:t vyd:_id="vyd:mgv1qvrs5fjvjf" xml:space="preserve"> снизились на 34,7%. Здесь повлияли доходы о компенсации затрат гос-ва (возврат задолженности прошлых лет снижение на 79,2 млн. руб.) и доходы от продажи материальных и нематериальных активов (приватизация).</w:t>
      </w:r>
    </w:p>
    <w:p w:rsidR="006531B6" w:rsidRPr="007A3B62" w:rsidRDefault="006531B6" w:rsidP="00A350CE" vyd:_id="vyd:mgv1qvrsg3eugq">
      <w:pPr>
        <w:ind w:start="0" w:end="0" w:firstLine="424.8"/>
        <w:jc w:val="both"/>
        <w:rPr>
          <w:sz w:val="24"/>
        </w:rPr>
      </w:pPr>
    </w:p>
    <w:p w:rsidR="006531B6" w:rsidRPr="007A3B62" w:rsidRDefault="006531B6" w:rsidP="00A350CE" vyd:_id="vyd:mgv1qvrrqpx6rf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rqoy2llc">Дебиторская задолженность по аренде за земельные участки в отчетном периоде увеличилась на 4,5 млн. рублей или на 7,1% ( 67,5 млн. руб., было - 63 млн. руб). Поступило больше и увеличивается задолженность.</w:t>
      </w:r>
    </w:p>
    <w:p w:rsidR="006531B6" w:rsidRPr="007A3B62" w:rsidRDefault="006531B6" w:rsidP="00A350CE" vyd:_id="vyd:mgv1qvrphyox42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rol0zr69">За аренду имущества относительно 2022 года дебиторская задолженность снизилась на 23,7 млн. рублей или на 29,3% (10 млн. руб., было 33,7 млн. руб. на 70,3%) за счет списания задолженности по ООО ВОДА» в сумме 26 млн. руб.</w:t>
      </w:r>
    </w:p>
    <w:p w:rsidR="006531B6" w:rsidRPr="007A3B62" w:rsidRDefault="006531B6" w:rsidP="00A350CE" vyd:_id="vyd:mgv1qvroeros9p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rn3pdwum">По договорам коммерческого найма в 2023 году наблюдается увеличение дебиторской задолженности в 2,2 раза (2,3 млн. руб. и 1,3 млн.руб).</w:t>
      </w:r>
    </w:p>
    <w:p w:rsidR="006531B6" w:rsidRPr="007A3B62" w:rsidRDefault="006531B6" w:rsidP="00A350CE" vyd:_id="vyd:mgv1qvrmjlwnpz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rlttx66b">В результате анализа расшифровки по договорам коммерческого найма установлено, что задолженность формируется по одним и тем же нанимателям из года в год с увеличением к предыдущему периоду.</w:t>
      </w:r>
    </w:p>
    <w:p w:rsidR="006531B6" w:rsidRPr="007A3B62" w:rsidRDefault="006531B6" w:rsidP="00A350CE" vyd:_id="vyd:mgv1qvrlw9z9sh">
      <w:pPr>
        <w:ind w:start="0" w:end="0" w:firstLine="424.8"/>
        <w:jc w:val="both"/>
        <w:rPr>
          <w:sz w:val="24"/>
          <w:b w:val="1"/>
        </w:rPr>
      </w:pPr>
      <w:r>
        <w:rPr>
          <w:sz w:val="24"/>
          <w:b w:val="1"/>
        </w:rPr>
        <w:t vyd:_id="vyd:mgv1qvrkeues7c">Таким образом, принятие мер по сокращению задолженности прошлых лет является одним из резервов стабилизации и роста доходной базы города.</w:t>
      </w:r>
    </w:p>
    <w:p w:rsidR="006531B6" w:rsidRPr="007A3B62" w:rsidRDefault="006531B6" w:rsidP="00A350CE" vyd:_id="vyd:mgv1qvrjlyv2nq">
      <w:pPr>
        <w:ind w:start="0" w:end="0" w:firstLine="424.8"/>
        <w:jc w:val="both"/>
        <w:rPr>
          <w:sz w:val="24"/>
          <w:b w:val="1"/>
        </w:rPr>
      </w:pPr>
      <w:r>
        <w:rPr>
          <w:sz w:val="24"/>
          <w:b w:val="1"/>
        </w:rPr>
        <w:t vyd:_id="vyd:mgv1qvriuixzlt">Дебиторская задолженность – 86,7 млн. руб.</w:t>
      </w:r>
    </w:p>
    <w:p w:rsidR="006531B6" w:rsidRPr="007A3B62" w:rsidRDefault="006531B6" w:rsidP="00A350CE" vyd:_id="vyd:mgv1qvriizq03r">
      <w:pPr>
        <w:ind w:start="0" w:end="0" w:firstLine="424.8"/>
        <w:jc w:val="both"/>
        <w:rPr>
          <w:sz w:val="24"/>
          <w:b w:val="1"/>
        </w:rPr>
      </w:pPr>
    </w:p>
    <w:p w:rsidR="006531B6" w:rsidRPr="007A3B62" w:rsidRDefault="006531B6" w:rsidP="00A350CE" vyd:_id="vyd:mgv1qvrh55e22k">
      <w:pPr>
        <w:ind w:start="0" w:end="0" w:firstLine="424.8"/>
        <w:jc w:val="both"/>
        <w:rPr>
          <w:sz w:val="24"/>
          <w:b w:val="1"/>
        </w:rPr>
      </w:pPr>
      <w:r>
        <w:rPr>
          <w:sz w:val="24"/>
          <w:b w:val="1"/>
        </w:rPr>
        <w:t vyd:_id="vyd:mgv1qvrgsj4ccv">По отчетности:</w:t>
      </w:r>
    </w:p>
    <w:p w:rsidR="006531B6" w:rsidRPr="007A3B62" w:rsidRDefault="006531B6" w:rsidP="00A350CE" vyd:_id="vyd:mgv1qvrfbu0oav">
      <w:pPr>
        <w:ind w:start="0" w:end="0" w:firstLine="424.8"/>
        <w:jc w:val="both"/>
        <w:rPr>
          <w:sz w:val="24"/>
        </w:rPr>
      </w:pPr>
      <w:r>
        <w:rPr>
          <w:sz w:val="24"/>
          <w:b w:val="1"/>
        </w:rPr>
        <w:t vyd:_id="vyd:mgv1qvre4gaiwm">ДЗ</w:t>
      </w:r>
      <w:r>
        <w:rPr>
          <w:sz w:val="24"/>
        </w:rPr>
        <w:t vyd:_id="vyd:mgv1qvremagmih" xml:space="preserve"> увеличилась на 1,5% (7,5 млрд. руб. и 7,4 млрд. руб.) за счет субсидий на капвложения и муниципального задания) за счет включения доходов будущих периодов в рамках соглашений, заключенных на бюджетный цикл.</w:t>
      </w:r>
    </w:p>
    <w:p w:rsidR="006531B6" w:rsidRPr="007A3B62" w:rsidRDefault="006531B6" w:rsidP="00A350CE" vyd:_id="vyd:mgv1qvrdiaj2wp">
      <w:pPr>
        <w:ind w:start="0" w:end="0" w:firstLine="424.8"/>
        <w:jc w:val="both"/>
        <w:rPr>
          <w:sz w:val="24"/>
          <w:b w:val="1"/>
        </w:rPr>
      </w:pPr>
      <w:r>
        <w:rPr>
          <w:sz w:val="24"/>
          <w:b w:val="1"/>
        </w:rPr>
        <w:t vyd:_id="vyd:mgv1qvrct9p0qx">По расходам бюджета.</w:t>
      </w:r>
    </w:p>
    <w:p w:rsidR="006531B6" w:rsidRPr="007A3B62" w:rsidRDefault="006531B6" w:rsidP="00A350CE" vyd:_id="vyd:mgv1qvrcltbglf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rbgatmy5" xml:space="preserve">Обращаем внимание, что в ходе исполнения бюджета при проведении контрольных мероприятий были установлены факты неэффективного использование средств, расходование (использование) государственными (муниципальными) бюджетными и государственными (муниципальными) автономными учреждениями субсидии на финансовое обеспечение выполнения государственного (муниципального задания) </w:t>
      </w:r>
      <w:r>
        <w:rPr>
          <w:sz w:val="24"/>
          <w:u w:val="single"/>
        </w:rPr>
        <w:t vyd:_id="vyd:mgv1qvra3nc99y">на цели, не связанные с выполнением государственного (муниципального) задания</w:t>
      </w:r>
      <w:r>
        <w:rPr>
          <w:sz w:val="24"/>
        </w:rPr>
        <w:t vyd:_id="vyd:mgv1qvra7aiz9o" xml:space="preserve">, </w:t>
      </w:r>
      <w:r>
        <w:rPr>
          <w:sz w:val="24"/>
        </w:rPr>
        <w:t vyd:_id="vyd:mgv1qvracy7ohg">нарушения при осуществлении муниципальных закупок, нарушения ведения бухгалтерского учета, составления и представления бухгалтерской (финансовой) отчетности, нарушения пункта 1 статьи 78.1 Бюджетного кодекса Российской Федерации, (предоставление субсидий на иные цели) пункта 4 статьи 69.2 Бюджетного кодекса Российской Федерации (порядка формирования муниципального задания и финансового обеспечения выполнения муниципального задания муниципальных учреждений Анжеро Судженского городского округа, ответственность за которые предусмотрена Кодекса Российской Федерации об административных правонарушениях.</w:t>
      </w:r>
    </w:p>
    <w:p w:rsidR="006531B6" w:rsidRPr="007A3B62" w:rsidRDefault="006531B6" w:rsidP="00A350CE" vyd:_id="vyd:mgv1qvr9t5o2rq">
      <w:pPr>
        <w:ind w:start="0" w:end="0" w:firstLine="424.8"/>
        <w:jc w:val="both"/>
        <w:rPr>
          <w:sz w:val="24"/>
        </w:rPr>
      </w:pPr>
    </w:p>
    <w:p w:rsidR="006531B6" w:rsidRPr="007A3B62" w:rsidRDefault="006531B6" w:rsidP="00A350CE" vyd:_id="vyd:mgv1qvr8zx2d1r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r7mgzofz">По исполнению судебных актов нагрузка на бюджет снизилась с 38,8 млн. руб. до 14,6 млн. руб.</w:t>
      </w:r>
    </w:p>
    <w:p w:rsidR="006531B6" w:rsidRPr="007A3B62" w:rsidRDefault="006531B6" w:rsidP="00A350CE" vyd:_id="vyd:mgv1qvr6q94u4m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r5x1rxpv">Установлено нарушение ст. 34 БК РФ, выразившееся в неэффективном использовании бюджетных средств, связанное с оплатой услуг представителя, пени, процентов за пользование чужими деньгами, неустойки, судебных расходов, государственной пошлины в сумме (2023,6 тыс. рублей (13,8% в общем объеме расходов по судебным актам) , в 2022 г. - 2 361,1 тыс. рублей, в 2021 году 6 218,8 тыс. рублей), в большей степени (74%), в результате возмещения ущерба причиненного имуществу ФЛ и ЮЛ в результате ДТП по причине ненормативного состояния дорог (1,5 млн. руб).</w:t>
      </w:r>
    </w:p>
    <w:p w:rsidR="006531B6" w:rsidRPr="007A3B62" w:rsidRDefault="006531B6" w:rsidP="00A350CE" vyd:_id="vyd:mgv1qvr508hyh4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r4kaq3of">По несвоевременной оплаты муниципальных контрактов. (исполнено 4,3 млн. руб. против 38,8 млн. руб. в 2022 году , и 94,6 млн. рублей в 2021 году).</w:t>
      </w:r>
    </w:p>
    <w:p w:rsidR="006531B6" w:rsidRPr="007A3B62" w:rsidRDefault="006531B6" w:rsidP="00A350CE" vyd:_id="vyd:mgv1qvr3v3jfa0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r265glk1">На конец 2023 года долговая нагрузка на бюджет снизилась на 6,6 %. (87,8 млн. и 94 млн.) Это результат реализации одной из задач муниципальной программы «Управление муниципальными финансами».</w:t>
      </w:r>
    </w:p>
    <w:p w:rsidR="006531B6" w:rsidRPr="007A3B62" w:rsidRDefault="006531B6" w:rsidP="00A350CE" vyd:_id="vyd:mgv1qvr2h0807b">
      <w:pPr>
        <w:ind w:start="0" w:end="0" w:firstLine="424.8"/>
        <w:jc w:val="both"/>
        <w:rPr>
          <w:sz w:val="24"/>
          <w:b w:val="1"/>
        </w:rPr>
      </w:pPr>
      <w:r>
        <w:rPr>
          <w:sz w:val="24"/>
          <w:b w:val="1"/>
        </w:rPr>
        <w:t vyd:_id="vyd:mgv1qvr1mqklu3">КЗ снизилась на 70 млн. руб. (183,9 и 254)</w:t>
      </w:r>
    </w:p>
    <w:p w:rsidR="006531B6" w:rsidRPr="007A3B62" w:rsidRDefault="006531B6" w:rsidP="00A350CE" vyd:_id="vyd:mgv1qvr0ufu8z9">
      <w:pPr>
        <w:ind w:start="0" w:end="0" w:firstLine="424.8"/>
        <w:jc w:val="both"/>
        <w:rPr>
          <w:sz w:val="24"/>
          <w:b w:val="1"/>
        </w:rPr>
      </w:pPr>
    </w:p>
    <w:p w:rsidR="006531B6" w:rsidRPr="007A3B62" w:rsidRDefault="006531B6" w:rsidP="00A350CE" vyd:_id="vyd:mgv1qvqztlcovy">
      <w:pPr>
        <w:ind w:start="0" w:end="0" w:firstLine="0"/>
        <w:jc w:val="both"/>
        <w:rPr>
          <w:sz w:val="24"/>
        </w:rPr>
      </w:pPr>
      <w:r>
        <w:rPr>
          <w:sz w:val="24"/>
        </w:rPr>
        <w:t vyd:_id="vyd:mgv1qvqyz84wxt">Основные выводы экспертизы:</w:t>
      </w:r>
    </w:p>
    <w:p w:rsidR="006531B6" w:rsidRPr="007A3B62" w:rsidRDefault="006531B6" w:rsidP="00A350CE" vyd:_id="vyd:mgv1qvqx62veys">
      <w:pPr>
        <w:numPr>
          <w:ilvl w:val="0"/>
          <w:numId w:val="3"/>
        </w:numPr>
        <w:jc w:val="both"/>
        <w:rPr>
          <w:sz w:val="24"/>
        </w:rPr>
      </w:pPr>
      <w:r>
        <w:rPr>
          <w:sz w:val="24"/>
        </w:rPr>
        <w:t vyd:_id="vyd:mgv1qvqwf33kwg">показатели годового отчета об исполнении бюджета городского округа за 2023 год (в тех цифрах, которые уже озвучены в докладе Е.Н.) соответствуют показателям доходов, расходов и профицита бюджета городского округа, установленным по результатам внешней проверки отчета об исполнении бюджета;</w:t>
      </w:r>
    </w:p>
    <w:p w:rsidR="006531B6" w:rsidRPr="007A3B62" w:rsidRDefault="006531B6" w:rsidP="00A350CE" vyd:_id="vyd:mgv1qvqwumh35l">
      <w:pPr>
        <w:numPr>
          <w:ilvl w:val="0"/>
          <w:numId w:val="3"/>
        </w:numPr>
        <w:jc w:val="both"/>
        <w:rPr>
          <w:sz w:val="24"/>
        </w:rPr>
      </w:pPr>
      <w:r>
        <w:rPr>
          <w:sz w:val="24"/>
        </w:rPr>
        <w:t vyd:_id="vyd:mgv1qvqv10a90j">в ходе исполнения бюджета при внесении изменений в бюджет бюджетное законодательство Российской Федерации и иные нормативные правовые акты, регулирующие бюджетные правоотношения, были соблюдены;</w:t>
      </w:r>
    </w:p>
    <w:p w:rsidR="006531B6" w:rsidRPr="007A3B62" w:rsidRDefault="006531B6" w:rsidP="00A350CE" vyd:_id="vyd:mgv1qvqudvnk6i">
      <w:pPr>
        <w:numPr>
          <w:ilvl w:val="0"/>
          <w:numId w:val="3"/>
        </w:numPr>
        <w:jc w:val="both"/>
        <w:rPr>
          <w:sz w:val="24"/>
        </w:rPr>
      </w:pPr>
      <w:r>
        <w:rPr>
          <w:sz w:val="24"/>
        </w:rPr>
        <w:t vyd:_id="vyd:mgv1qvqtdrftxy">годовой отчет об исполнении бюджета сформирован в полном объеме и в соответствии с нормативными требованиями его составления и представления.</w:t>
      </w:r>
    </w:p>
    <w:p w:rsidR="006531B6" w:rsidRPr="007A3B62" w:rsidRDefault="006531B6" w:rsidP="00A350CE" vyd:_id="vyd:mgv1qvqtcpxg16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qrwqd6so">Таким образом, Контрольно-счетная палата выражает мнение о достоверности годового отчета об исполнении бюджета городского округа.</w:t>
      </w:r>
    </w:p>
    <w:p w:rsidR="006531B6" w:rsidRPr="007A3B62" w:rsidRDefault="006531B6" w:rsidP="00A350CE" vyd:_id="vyd:mgv1qvqrwlrubb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qq1k3gr4">По итогам внешней проверки нами проведены рабочие совещания с начальником финансового управления. Ряд вопросов отработан в рабочем порядке. На бюджетном комитете Совета народных депутатов мной были изложены основные выводы по результатам внешней проверки.</w:t>
      </w:r>
    </w:p>
    <w:p w:rsidR="006531B6" w:rsidRPr="007A3B62" w:rsidRDefault="006531B6" w:rsidP="00A350CE" vyd:_id="vyd:mgv1qvqp7kvjis">
      <w:pPr>
        <w:ind w:start="0" w:end="0" w:firstLine="424.8"/>
        <w:jc w:val="both"/>
        <w:rPr>
          <w:sz w:val="24"/>
        </w:rPr>
      </w:pPr>
      <w:r>
        <w:rPr>
          <w:sz w:val="24"/>
        </w:rPr>
        <w:t vyd:_id="vyd:mgv1qvqo7iiv3z">Основные рекомендации содержатся в Заключении, которые полагаю целесообразно учесть при рассмотрении проекта решения об исполнении бюджета городского округа за 2023год.</w:t>
      </w:r>
    </w:p>
    <w:p w:rsidR="006531B6" w:rsidRPr="007A3B62" w:rsidRDefault="006531B6" w:rsidP="00A350CE" vyd:_id="vyd:mgv1qvqonpq11a">
      <w:pPr>
        <w:ind w:start="0" w:end="0" w:firstLine="424.8"/>
        <w:jc w:val="both"/>
        <w:rPr>
          <w:sz w:val="24"/>
        </w:rPr>
      </w:pPr>
    </w:p>
    <w:p w:rsidR="006531B6" w:rsidRPr="007A3B62" w:rsidRDefault="006531B6" w:rsidP="00A350CE" vyd:_id="vyd:mgv1qvqm4xsi70">
      <w:pPr>
        <w:ind w:start="0" w:end="0" w:firstLine="0"/>
        <w:jc w:val="both"/>
        <w:rPr>
          <w:sz w:val="24"/>
          <w:b w:val="1"/>
        </w:rPr>
      </w:pPr>
      <w:r>
        <w:rPr>
          <w:sz w:val="24"/>
          <w:b w:val="1"/>
        </w:rPr>
        <w:t vyd:_id="vyd:mgv1qvqlr7smp6">Спасибо за внимание!</w:t>
      </w:r>
    </w:p>
    <w:p w:rsidR="006531B6" w:rsidRPr="007A3B62" w:rsidRDefault="006531B6" w:rsidP="00A350CE" vyd:_id="vyd:mgv1qvqku3j666"/>
    <w:sectPr vyd:_id="vyd:mgv1qtfrqlkk6q" w:rsidR="006531B6" w:rsidRPr="007A3B62" w:rsidSect="007A3B62">
      <w:type w:val="nextPage"/>
      <w:pgSz w:w="11907" w:h="16840" w:orient="portrait"/>
      <w:pgMar w:top="1134" w:right="851" w:bottom="1134" w:left="1701" w:header="709" w:footer="709" w:gutter="0"/>
      <w:cols w:equalWidth="1" w:space="708" w:sep="0"/>
      <w:vAlign w:val="top"/>
      <w:titlePg w:val="0"/>
      <w:docGrid w:linePitch="360"/>
    </w:sectPr>
  </w:body>
</w:document>
</file>

<file path=word/fontTable.xml><?xml version="1.0" encoding="utf-8"?>
<w:fonts xmlns:w16se="http://schemas.microsoft.com/office/word/2015/wordml/symex" xmlns:w16sdtdh="http://schemas.microsoft.com/office/word/2020/wordml/sdtdatahash" xmlns:unk1="http://schemas.microsoft.com/office/word/2023/wordml/word16du" xmlns:w16cex="http://schemas.microsoft.com/office/word/2018/wordml/cex" xmlns:w14="http://schemas.microsoft.com/office/word/2010/wordml" xmlns:w15="http://schemas.microsoft.com/office/word/2012/wordml" xmlns:w16="http://schemas.microsoft.com/office/word/2018/wordml" xmlns:w16cid="http://schemas.microsoft.com/office/word/2016/wordml/cid" xmlns:mc="http://schemas.openxmlformats.org/markup-compatibility/2006" xmlns:w="http://schemas.openxmlformats.org/wordprocessingml/2006/main" mc:Ignorable="w14 w15 w16se w16cid w16 w16cex w16sdtdh unk1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="http://schemas.openxmlformats.org/wordprocessingml/2006/main">
  <w:abstractNum w:abstractNumId="0">
    <w:multiLevelType w:val="hybridMultilevel"/>
    <w:lvl w:ilvl="0">
      <w:start w:val="1"/>
      <w:numFmt w:val="decimal"/>
      <w:lvlText w:val="%1)"/>
      <w:lvlJc w:val="start"/>
      <w:pPr>
        <w:ind w:start="720" w:hanging="360"/>
      </w:pPr>
    </w:lvl>
    <w:lvl w:ilvl="1">
      <w:start w:val="1"/>
      <w:numFmt w:val="lowerLetter"/>
      <w:lvlText w:val="%2)"/>
      <w:lvlJc w:val="start"/>
      <w:pPr>
        <w:ind w:start="1440" w:hanging="360"/>
      </w:pPr>
    </w:lvl>
    <w:lvl w:ilvl="2">
      <w:start w:val="1"/>
      <w:numFmt w:val="lowerRoman"/>
      <w:lvlText w:val="%3)"/>
      <w:lvlJc w:val="end"/>
      <w:pPr>
        <w:ind w:start="2160" w:hanging="180"/>
      </w:pPr>
    </w:lvl>
    <w:lvl w:ilvl="3">
      <w:start w:val="1"/>
      <w:numFmt w:val="decimal"/>
      <w:lvlText w:val="%4)"/>
      <w:lvlJc w:val="start"/>
      <w:pPr>
        <w:ind w:start="2880" w:hanging="360"/>
      </w:pPr>
    </w:lvl>
    <w:lvl w:ilvl="4">
      <w:start w:val="1"/>
      <w:numFmt w:val="lowerLetter"/>
      <w:lvlText w:val="%5)"/>
      <w:lvlJc w:val="start"/>
      <w:pPr>
        <w:ind w:start="3600" w:hanging="360"/>
      </w:pPr>
    </w:lvl>
    <w:lvl w:ilvl="5">
      <w:start w:val="1"/>
      <w:numFmt w:val="lowerRoman"/>
      <w:lvlText w:val="%6)"/>
      <w:lvlJc w:val="end"/>
      <w:pPr>
        <w:ind w:start="4320" w:hanging="180"/>
      </w:pPr>
    </w:lvl>
    <w:lvl w:ilvl="6">
      <w:start w:val="1"/>
      <w:numFmt w:val="decimal"/>
      <w:lvlText w:val="%7)"/>
      <w:lvlJc w:val="start"/>
      <w:pPr>
        <w:ind w:start="5040" w:hanging="360"/>
      </w:pPr>
    </w:lvl>
    <w:lvl w:ilvl="7">
      <w:start w:val="1"/>
      <w:numFmt w:val="lowerLetter"/>
      <w:lvlText w:val="%8)"/>
      <w:lvlJc w:val="start"/>
      <w:pPr>
        <w:ind w:start="5760" w:hanging="360"/>
      </w:pPr>
    </w:lvl>
    <w:lvl w:ilvl="8">
      <w:start w:val="1"/>
      <w:numFmt w:val="lowerRoman"/>
      <w:lvlText w:val="%9)"/>
      <w:lvlJc w:val="end"/>
      <w:pPr>
        <w:ind w:start="6480" w:hanging="180"/>
      </w:pPr>
    </w:lvl>
  </w:abstractNum>
  <w:abstractNum w:abstractNumId="1">
    <w:multiLevelType w:val="hybridMultilevel"/>
    <w:lvl w:ilvl="0">
      <w:start w:val="1"/>
      <w:numFmt w:val="decimal"/>
      <w:lvlText w:val="%1."/>
      <w:lvlJc w:val="start"/>
      <w:pPr>
        <w:ind w:start="720" w:hanging="360"/>
      </w:pPr>
    </w:lvl>
    <w:lvl w:ilvl="1">
      <w:start w:val="1"/>
      <w:numFmt w:val="lowerLetter"/>
      <w:lvlText w:val="%2."/>
      <w:lvlJc w:val="start"/>
      <w:pPr>
        <w:ind w:start="1440" w:hanging="360"/>
      </w:pPr>
    </w:lvl>
    <w:lvl w:ilvl="2">
      <w:start w:val="1"/>
      <w:numFmt w:val="lowerRoman"/>
      <w:lvlText w:val="%3."/>
      <w:lvlJc w:val="end"/>
      <w:pPr>
        <w:ind w:start="2160" w:hanging="180"/>
      </w:pPr>
    </w:lvl>
    <w:lvl w:ilvl="3">
      <w:start w:val="1"/>
      <w:numFmt w:val="decimal"/>
      <w:lvlText w:val="%4."/>
      <w:lvlJc w:val="start"/>
      <w:pPr>
        <w:ind w:start="2880" w:hanging="360"/>
      </w:pPr>
    </w:lvl>
    <w:lvl w:ilvl="4">
      <w:start w:val="1"/>
      <w:numFmt w:val="lowerLetter"/>
      <w:lvlText w:val="%5."/>
      <w:lvlJc w:val="start"/>
      <w:pPr>
        <w:ind w:start="3600" w:hanging="360"/>
      </w:pPr>
    </w:lvl>
    <w:lvl w:ilvl="5">
      <w:start w:val="1"/>
      <w:numFmt w:val="lowerRoman"/>
      <w:lvlText w:val="%6."/>
      <w:lvlJc w:val="end"/>
      <w:pPr>
        <w:ind w:start="4320" w:hanging="180"/>
      </w:pPr>
    </w:lvl>
    <w:lvl w:ilvl="6">
      <w:start w:val="1"/>
      <w:numFmt w:val="decimal"/>
      <w:lvlText w:val="%7."/>
      <w:lvlJc w:val="start"/>
      <w:pPr>
        <w:ind w:start="5040" w:hanging="360"/>
      </w:pPr>
    </w:lvl>
    <w:lvl w:ilvl="7">
      <w:start w:val="1"/>
      <w:numFmt w:val="lowerLetter"/>
      <w:lvlText w:val="%8."/>
      <w:lvlJc w:val="start"/>
      <w:pPr>
        <w:ind w:start="5760" w:hanging="360"/>
      </w:pPr>
    </w:lvl>
    <w:lvl w:ilvl="8">
      <w:start w:val="1"/>
      <w:numFmt w:val="lowerRoman"/>
      <w:lvlText w:val="%9."/>
      <w:lvlJc w:val="end"/>
      <w:pPr>
        <w:ind w:start="6480" w:hanging="180"/>
      </w:pPr>
    </w:lvl>
  </w:abstractNum>
  <w:abstractNum w:abstractNumId="2">
    <w:multiLevelType w:val="hybridMultilevel"/>
    <w:lvl w:ilvl="0">
      <w:start w:val="1"/>
      <w:numFmt w:val="decimal"/>
      <w:lvlText w:val="%1)"/>
      <w:lvlJc w:val="start"/>
      <w:pPr>
        <w:ind w:start="720" w:hanging="360"/>
      </w:pPr>
    </w:lvl>
    <w:lvl w:ilvl="1">
      <w:start w:val="1"/>
      <w:numFmt w:val="lowerLetter"/>
      <w:lvlText w:val="%2)"/>
      <w:lvlJc w:val="start"/>
      <w:pPr>
        <w:ind w:start="1440" w:hanging="360"/>
      </w:pPr>
    </w:lvl>
    <w:lvl w:ilvl="2">
      <w:start w:val="1"/>
      <w:numFmt w:val="lowerRoman"/>
      <w:lvlText w:val="%3)"/>
      <w:lvlJc w:val="end"/>
      <w:pPr>
        <w:ind w:start="2160" w:hanging="180"/>
      </w:pPr>
    </w:lvl>
    <w:lvl w:ilvl="3">
      <w:start w:val="1"/>
      <w:numFmt w:val="decimal"/>
      <w:lvlText w:val="%4)"/>
      <w:lvlJc w:val="start"/>
      <w:pPr>
        <w:ind w:start="2880" w:hanging="360"/>
      </w:pPr>
    </w:lvl>
    <w:lvl w:ilvl="4">
      <w:start w:val="1"/>
      <w:numFmt w:val="lowerLetter"/>
      <w:lvlText w:val="%5)"/>
      <w:lvlJc w:val="start"/>
      <w:pPr>
        <w:ind w:start="3600" w:hanging="360"/>
      </w:pPr>
    </w:lvl>
    <w:lvl w:ilvl="5">
      <w:start w:val="1"/>
      <w:numFmt w:val="lowerRoman"/>
      <w:lvlText w:val="%6)"/>
      <w:lvlJc w:val="end"/>
      <w:pPr>
        <w:ind w:start="4320" w:hanging="180"/>
      </w:pPr>
    </w:lvl>
    <w:lvl w:ilvl="6">
      <w:start w:val="1"/>
      <w:numFmt w:val="decimal"/>
      <w:lvlText w:val="%7)"/>
      <w:lvlJc w:val="start"/>
      <w:pPr>
        <w:ind w:start="5040" w:hanging="360"/>
      </w:pPr>
    </w:lvl>
    <w:lvl w:ilvl="7">
      <w:start w:val="1"/>
      <w:numFmt w:val="lowerLetter"/>
      <w:lvlText w:val="%8)"/>
      <w:lvlJc w:val="start"/>
      <w:pPr>
        <w:ind w:start="5760" w:hanging="360"/>
      </w:pPr>
    </w:lvl>
    <w:lvl w:ilvl="8">
      <w:start w:val="1"/>
      <w:numFmt w:val="lowerRoman"/>
      <w:lvlText w:val="%9)"/>
      <w:lvlJc w:val="end"/>
      <w:pPr>
        <w:ind w:star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="http://schemas.openxmlformats.org/officeDocument/2006/math" xmlns:w15="http://schemas.microsoft.com/office/word/2012/wordml" xmlns:o="urn:schemas-microsoft-com:office:office" xmlns:v="urn:schemas-microsoft-com:vml" xmlns:w="http://schemas.openxmlformats.org/wordprocessingml/2006/main">
  <w15:chartTrackingRefBased/>
  <w15:docId w15:val="{9461E328-93DC-9D4C-AD02-F8EA458366DF}"/>
  <w:zoom w:percent="100"/>
  <w:displayBackgroundShape w:val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4F8"/>
    <w:rsid w:val="000744F8"/>
    <w:rsid w:val="003E661C"/>
    <w:rsid w:val="006531B6"/>
    <w:rsid w:val="007A3B62"/>
    <w:rsid w:val="00A350CE"/>
    <w:rsid w:val="00CB5903"/>
  </w:rsids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14="http://schemas.microsoft.com/office/word/2010/wordml" xmlns:w="http://schemas.openxmlformats.org/wordprocessingml/2006/main">
  <w:docDefaults>
    <w:rPrDefault>
      <w:rPr>
        <w:rFonts w:ascii="Arial" w:hAnsi="Arial" w:cs="Arial"/>
        <w:sz w:val="22"/>
        <w:lang w:val="ru-RU"/>
        <w:szCs w:val="22"/>
        <w14:ligatures w14:val="standardContextual"/>
      </w:rPr>
    </w:rPrDefault>
    <w:pPrDefault>
      <w:pPr>
        <w:spacing w:line="276" w:before="0" w:after="0" w:lineRule="auto"/>
      </w:pPr>
    </w:pPrDefault>
  </w:docDefaults>
  <w:latentStyles w:count="376">
    <w:lsdException w:name="annotation reference" w:semiHidden="1" w:unhideWhenUsed="1"/>
    <w:lsdException w:name="annotation subject" w:semiHidden="1" w:unhideWhenUsed="1"/>
    <w:lsdException w:name="annotation text" w:semiHidden="1" w:unhideWhenUsed="1"/>
    <w:lsdException w:name="Balloon Text" w:semiHidden="1" w:unhideWhenUsed="1"/>
    <w:lsdException w:name="Bibliography" w:uiPriority="37" w:semiHidden="1" w:unhideWhenUsed="1"/>
    <w:lsdException w:name="Block Text" w:semiHidden="1" w:unhideWhenUsed="1"/>
    <w:lsdException w:name="Body Text" w:semiHidden="1" w:unhideWhenUsed="1"/>
    <w:lsdException w:name="Body Text 2" w:semiHidden="1" w:unhideWhenUsed="1"/>
    <w:lsdException w:name="Body Text 3" w:semiHidden="1" w:unhideWhenUsed="1"/>
    <w:lsdException w:name="Body Text First Indent" w:semiHidden="1" w:unhideWhenUsed="1"/>
    <w:lsdException w:name="Body Text First Indent 2" w:semiHidden="1" w:unhideWhenUsed="1"/>
    <w:lsdException w:name="Body Text Indent" w:semiHidden="1" w:unhideWhenUsed="1"/>
    <w:lsdException w:name="Body Text Indent 2" w:semiHidden="1" w:unhideWhenUsed="1"/>
    <w:lsdException w:name="Body Text Indent 3" w:semiHidden="1" w:unhideWhenUsed="1"/>
    <w:lsdException w:name="Book Title" w:uiPriority="33" w:qFormat="1"/>
    <w:lsdException w:name="caption" w:uiPriority="35" w:semiHidden="1" w:unhideWhenUsed="1" w:qFormat="1"/>
    <w:lsdException w:name="Closing" w:semiHidden="1" w:unhideWhenUsed="1"/>
    <w:lsdException w:name="Colorful Grid" w:uiPriority="73"/>
    <w:lsdException w:name="Colorful Grid Accent 1" w:uiPriority="73"/>
    <w:lsdException w:name="Colorful Grid Accent 2" w:uiPriority="73"/>
    <w:lsdException w:name="Colorful Grid Accent 3" w:uiPriority="73"/>
    <w:lsdException w:name="Colorful Grid Accent 4" w:uiPriority="73"/>
    <w:lsdException w:name="Colorful Grid Accent 5" w:uiPriority="73"/>
    <w:lsdException w:name="Colorful Grid Accent 6" w:uiPriority="73"/>
    <w:lsdException w:name="Colorful List" w:uiPriority="72"/>
    <w:lsdException w:name="Colorful List Accent 1" w:uiPriority="72"/>
    <w:lsdException w:name="Colorful List Accent 2" w:uiPriority="72"/>
    <w:lsdException w:name="Colorful List Accent 3" w:uiPriority="72"/>
    <w:lsdException w:name="Colorful List Accent 4" w:uiPriority="72"/>
    <w:lsdException w:name="Colorful List Accent 5" w:uiPriority="72"/>
    <w:lsdException w:name="Colorful List Accent 6" w:uiPriority="72"/>
    <w:lsdException w:name="Colorful Shading" w:uiPriority="71"/>
    <w:lsdException w:name="Colorful Shading Accent 1" w:uiPriority="71"/>
    <w:lsdException w:name="Colorful Shading Accent 2" w:uiPriority="71"/>
    <w:lsdException w:name="Colorful Shading Accent 3" w:uiPriority="71"/>
    <w:lsdException w:name="Colorful Shading Accent 4" w:uiPriority="71"/>
    <w:lsdException w:name="Colorful Shading Accent 5" w:uiPriority="71"/>
    <w:lsdException w:name="Colorful Shading Accent 6" w:uiPriority="71"/>
    <w:lsdException w:name="Dark List" w:uiPriority="70"/>
    <w:lsdException w:name="Dark List Accent 1" w:uiPriority="70"/>
    <w:lsdException w:name="Dark List Accent 2" w:uiPriority="70"/>
    <w:lsdException w:name="Dark List Accent 3" w:uiPriority="70"/>
    <w:lsdException w:name="Dark List Accent 4" w:uiPriority="70"/>
    <w:lsdException w:name="Dark List Accent 5" w:uiPriority="70"/>
    <w:lsdException w:name="Dark List Accent 6" w:uiPriority="70"/>
    <w:lsdException w:name="Date" w:semiHidden="1" w:unhideWhenUsed="1"/>
    <w:lsdException w:name="Default Paragraph Font" w:uiPriority="1" w:semiHidden="1" w:unhideWhenUsed="1"/>
    <w:lsdException w:name="Document Map" w:semiHidden="1" w:unhideWhenUsed="1"/>
    <w:lsdException w:name="E-mail Signature" w:semiHidden="1" w:unhideWhenUsed="1"/>
    <w:lsdException w:name="Emphasis" w:uiPriority="20" w:qFormat="1"/>
    <w:lsdException w:name="endnote reference" w:semiHidden="1" w:unhideWhenUsed="1"/>
    <w:lsdException w:name="endnote text" w:semiHidden="1" w:unhideWhenUsed="1"/>
    <w:lsdException w:name="envelope address" w:semiHidden="1" w:unhideWhenUsed="1"/>
    <w:lsdException w:name="envelope return" w:semiHidden="1" w:unhideWhenUsed="1"/>
    <w:lsdException w:name="FollowedHyperlink" w:semiHidden="1" w:unhideWhenUsed="1"/>
    <w:lsdException w:name="footer" w:semiHidden="1" w:unhideWhenUsed="1"/>
    <w:lsdException w:name="footnote reference" w:semiHidden="1" w:unhideWhenUsed="1"/>
    <w:lsdException w:name="footnote text" w:semiHidden="1" w:unhideWhenUsed="1"/>
    <w:lsdException w:name="Grid Table 1 Light" w:uiPriority="46"/>
    <w:lsdException w:name="Grid Table 1 Light Accent 1" w:uiPriority="46"/>
    <w:lsdException w:name="Grid Table 1 Light Accent 2" w:uiPriority="46"/>
    <w:lsdException w:name="Grid Table 1 Light Accent 3" w:uiPriority="46"/>
    <w:lsdException w:name="Grid Table 1 Light Accent 4" w:uiPriority="46"/>
    <w:lsdException w:name="Grid Table 1 Light Accent 5" w:uiPriority="46"/>
    <w:lsdException w:name="Grid Table 1 Light Accent 6" w:uiPriority="46"/>
    <w:lsdException w:name="Grid Table 2" w:uiPriority="47"/>
    <w:lsdException w:name="Grid Table 2 Accent 1" w:uiPriority="47"/>
    <w:lsdException w:name="Grid Table 2 Accent 2" w:uiPriority="47"/>
    <w:lsdException w:name="Grid Table 2 Accent 3" w:uiPriority="47"/>
    <w:lsdException w:name="Grid Table 2 Accent 4" w:uiPriority="47"/>
    <w:lsdException w:name="Grid Table 2 Accent 5" w:uiPriority="47"/>
    <w:lsdException w:name="Grid Table 2 Accent 6" w:uiPriority="47"/>
    <w:lsdException w:name="Grid Table 3" w:uiPriority="48"/>
    <w:lsdException w:name="Grid Table 3 Accent 1" w:uiPriority="48"/>
    <w:lsdException w:name="Grid Table 3 Accent 2" w:uiPriority="48"/>
    <w:lsdException w:name="Grid Table 3 Accent 3" w:uiPriority="48"/>
    <w:lsdException w:name="Grid Table 3 Accent 4" w:uiPriority="48"/>
    <w:lsdException w:name="Grid Table 3 Accent 5" w:uiPriority="48"/>
    <w:lsdException w:name="Grid Table 3 Accent 6" w:uiPriority="48"/>
    <w:lsdException w:name="Grid Table 4" w:uiPriority="49"/>
    <w:lsdException w:name="Grid Table 4 Accent 1" w:uiPriority="49"/>
    <w:lsdException w:name="Grid Table 4 Accent 2" w:uiPriority="49"/>
    <w:lsdException w:name="Grid Table 4 Accent 3" w:uiPriority="49"/>
    <w:lsdException w:name="Grid Table 4 Accent 4" w:uiPriority="49"/>
    <w:lsdException w:name="Grid Table 4 Accent 5" w:uiPriority="49"/>
    <w:lsdException w:name="Grid Table 4 Accent 6" w:uiPriority="49"/>
    <w:lsdException w:name="Grid Table 5 Dark" w:uiPriority="50"/>
    <w:lsdException w:name="Grid Table 5 Dark Accent 1" w:uiPriority="50"/>
    <w:lsdException w:name="Grid Table 5 Dark Accent 2" w:uiPriority="50"/>
    <w:lsdException w:name="Grid Table 5 Dark Accent 3" w:uiPriority="50"/>
    <w:lsdException w:name="Grid Table 5 Dark Accent 4" w:uiPriority="50"/>
    <w:lsdException w:name="Grid Table 5 Dark Accent 5" w:uiPriority="50"/>
    <w:lsdException w:name="Grid Table 5 Dark Accent 6" w:uiPriority="50"/>
    <w:lsdException w:name="Grid Table 6 Colorful" w:uiPriority="51"/>
    <w:lsdException w:name="Grid Table 6 Colorful Accent 1" w:uiPriority="51"/>
    <w:lsdException w:name="Grid Table 6 Colorful Accent 2" w:uiPriority="51"/>
    <w:lsdException w:name="Grid Table 6 Colorful Accent 3" w:uiPriority="51"/>
    <w:lsdException w:name="Grid Table 6 Colorful Accent 4" w:uiPriority="51"/>
    <w:lsdException w:name="Grid Table 6 Colorful Accent 5" w:uiPriority="51"/>
    <w:lsdException w:name="Grid Table 6 Colorful Accent 6" w:uiPriority="51"/>
    <w:lsdException w:name="Grid Table 7 Colorful" w:uiPriority="52"/>
    <w:lsdException w:name="Grid Table 7 Colorful Accent 1" w:uiPriority="52"/>
    <w:lsdException w:name="Grid Table 7 Colorful Accent 2" w:uiPriority="52"/>
    <w:lsdException w:name="Grid Table 7 Colorful Accent 3" w:uiPriority="52"/>
    <w:lsdException w:name="Grid Table 7 Colorful Accent 4" w:uiPriority="52"/>
    <w:lsdException w:name="Grid Table 7 Colorful Accent 5" w:uiPriority="52"/>
    <w:lsdException w:name="Grid Table 7 Colorful Accent 6" w:uiPriority="52"/>
    <w:lsdException w:name="Grid Table Light" w:uiPriority="40"/>
    <w:lsdException w:name="Hashtag" w:semiHidden="1" w:unhideWhenUsed="1"/>
    <w:lsdException w:name="header" w:semiHidden="1" w:unhideWhenUsed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TML Acronym" w:semiHidden="1" w:unhideWhenUsed="1"/>
    <w:lsdException w:name="HTML Address" w:semiHidden="1" w:unhideWhenUsed="1"/>
    <w:lsdException w:name="HTML Bottom of Form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op of Form" w:semiHidden="1" w:unhideWhenUsed="1"/>
    <w:lsdException w:name="HTML Typewriter" w:semiHidden="1" w:unhideWhenUsed="1"/>
    <w:lsdException w:name="HTML Variable" w:semiHidden="1" w:unhideWhenUsed="1"/>
    <w:lsdException w:name="Hyperlink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index heading" w:semiHidden="1" w:unhideWhenUsed="1"/>
    <w:lsdException w:name="Intense Emphasis" w:uiPriority="21" w:qFormat="1"/>
    <w:lsdException w:name="Intense Quote" w:uiPriority="30" w:qFormat="1"/>
    <w:lsdException w:name="Intense Reference" w:uiPriority="32" w:qFormat="1"/>
    <w:lsdException w:name="Light Grid" w:uiPriority="62"/>
    <w:lsdException w:name="Light Grid Accent 1" w:uiPriority="62"/>
    <w:lsdException w:name="Light Grid Accent 2" w:uiPriority="62"/>
    <w:lsdException w:name="Light Grid Accent 3" w:uiPriority="62"/>
    <w:lsdException w:name="Light Grid Accent 4" w:uiPriority="62"/>
    <w:lsdException w:name="Light Grid Accent 5" w:uiPriority="62"/>
    <w:lsdException w:name="Light Grid Accent 6" w:uiPriority="62"/>
    <w:lsdException w:name="Light List" w:uiPriority="61"/>
    <w:lsdException w:name="Light List Accent 1" w:uiPriority="61"/>
    <w:lsdException w:name="Light List Accent 2" w:uiPriority="61"/>
    <w:lsdException w:name="Light List Accent 3" w:uiPriority="61"/>
    <w:lsdException w:name="Light List Accent 4" w:uiPriority="61"/>
    <w:lsdException w:name="Light List Accent 5" w:uiPriority="61"/>
    <w:lsdException w:name="Light List Accent 6" w:uiPriority="61"/>
    <w:lsdException w:name="Light Shading" w:uiPriority="60"/>
    <w:lsdException w:name="Light Shading Accent 1" w:uiPriority="60"/>
    <w:lsdException w:name="Light Shading Accent 2" w:uiPriority="60"/>
    <w:lsdException w:name="Light Shading Accent 3" w:uiPriority="60"/>
    <w:lsdException w:name="Light Shading Accent 4" w:uiPriority="60"/>
    <w:lsdException w:name="Light Shading Accent 5" w:uiPriority="60"/>
    <w:lsdException w:name="Light Shading Accent 6" w:uiPriority="60"/>
    <w:lsdException w:name="line number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List Number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List Paragraph" w:uiPriority="34" w:qFormat="1"/>
    <w:lsdException w:name="List Table 1 Light" w:uiPriority="46"/>
    <w:lsdException w:name="List Table 1 Light Accent 1" w:uiPriority="46"/>
    <w:lsdException w:name="List Table 1 Light Accent 2" w:uiPriority="46"/>
    <w:lsdException w:name="List Table 1 Light Accent 3" w:uiPriority="46"/>
    <w:lsdException w:name="List Table 1 Light Accent 4" w:uiPriority="46"/>
    <w:lsdException w:name="List Table 1 Light Accent 5" w:uiPriority="46"/>
    <w:lsdException w:name="List Table 1 Light Accent 6" w:uiPriority="46"/>
    <w:lsdException w:name="List Table 2" w:uiPriority="47"/>
    <w:lsdException w:name="List Table 2 Accent 1" w:uiPriority="47"/>
    <w:lsdException w:name="List Table 2 Accent 2" w:uiPriority="47"/>
    <w:lsdException w:name="List Table 2 Accent 3" w:uiPriority="47"/>
    <w:lsdException w:name="List Table 2 Accent 4" w:uiPriority="47"/>
    <w:lsdException w:name="List Table 2 Accent 5" w:uiPriority="47"/>
    <w:lsdException w:name="List Table 2 Accent 6" w:uiPriority="47"/>
    <w:lsdException w:name="List Table 3" w:uiPriority="48"/>
    <w:lsdException w:name="List Table 3 Accent 1" w:uiPriority="48"/>
    <w:lsdException w:name="List Table 3 Accent 2" w:uiPriority="48"/>
    <w:lsdException w:name="List Table 3 Accent 3" w:uiPriority="48"/>
    <w:lsdException w:name="List Table 3 Accent 4" w:uiPriority="48"/>
    <w:lsdException w:name="List Table 3 Accent 5" w:uiPriority="48"/>
    <w:lsdException w:name="List Table 3 Accent 6" w:uiPriority="48"/>
    <w:lsdException w:name="List Table 4" w:uiPriority="49"/>
    <w:lsdException w:name="List Table 4 Accent 1" w:uiPriority="49"/>
    <w:lsdException w:name="List Table 4 Accent 2" w:uiPriority="49"/>
    <w:lsdException w:name="List Table 4 Accent 3" w:uiPriority="49"/>
    <w:lsdException w:name="List Table 4 Accent 4" w:uiPriority="49"/>
    <w:lsdException w:name="List Table 4 Accent 5" w:uiPriority="49"/>
    <w:lsdException w:name="List Table 4 Accent 6" w:uiPriority="49"/>
    <w:lsdException w:name="List Table 5 Dark" w:uiPriority="50"/>
    <w:lsdException w:name="List Table 5 Dark Accent 1" w:uiPriority="50"/>
    <w:lsdException w:name="List Table 5 Dark Accent 2" w:uiPriority="50"/>
    <w:lsdException w:name="List Table 5 Dark Accent 3" w:uiPriority="50"/>
    <w:lsdException w:name="List Table 5 Dark Accent 4" w:uiPriority="50"/>
    <w:lsdException w:name="List Table 5 Dark Accent 5" w:uiPriority="50"/>
    <w:lsdException w:name="List Table 5 Dark Accent 6" w:uiPriority="50"/>
    <w:lsdException w:name="List Table 6 Colorful" w:uiPriority="51"/>
    <w:lsdException w:name="List Table 6 Colorful Accent 1" w:uiPriority="51"/>
    <w:lsdException w:name="List Table 6 Colorful Accent 2" w:uiPriority="51"/>
    <w:lsdException w:name="List Table 6 Colorful Accent 3" w:uiPriority="51"/>
    <w:lsdException w:name="List Table 6 Colorful Accent 4" w:uiPriority="51"/>
    <w:lsdException w:name="List Table 6 Colorful Accent 5" w:uiPriority="51"/>
    <w:lsdException w:name="List Table 6 Colorful Accent 6" w:uiPriority="51"/>
    <w:lsdException w:name="List Table 7 Colorful" w:uiPriority="52"/>
    <w:lsdException w:name="List Table 7 Colorful Accent 1" w:uiPriority="52"/>
    <w:lsdException w:name="List Table 7 Colorful Accent 2" w:uiPriority="52"/>
    <w:lsdException w:name="List Table 7 Colorful Accent 3" w:uiPriority="52"/>
    <w:lsdException w:name="List Table 7 Colorful Accent 4" w:uiPriority="52"/>
    <w:lsdException w:name="List Table 7 Colorful Accent 5" w:uiPriority="52"/>
    <w:lsdException w:name="List Table 7 Colorful Accent 6" w:uiPriority="52"/>
    <w:lsdException w:name="macro" w:semiHidden="1" w:unhideWhenUsed="1"/>
    <w:lsdException w:name="Medium Grid 1" w:uiPriority="67"/>
    <w:lsdException w:name="Medium Grid 1 Accent 1" w:uiPriority="67"/>
    <w:lsdException w:name="Medium Grid 1 Accent 2" w:uiPriority="67"/>
    <w:lsdException w:name="Medium Grid 1 Accent 3" w:uiPriority="67"/>
    <w:lsdException w:name="Medium Grid 1 Accent 4" w:uiPriority="67"/>
    <w:lsdException w:name="Medium Grid 1 Accent 5" w:uiPriority="67"/>
    <w:lsdException w:name="Medium Grid 1 Accent 6" w:uiPriority="67"/>
    <w:lsdException w:name="Medium Grid 2" w:uiPriority="68"/>
    <w:lsdException w:name="Medium Grid 2 Accent 1" w:uiPriority="68"/>
    <w:lsdException w:name="Medium Grid 2 Accent 2" w:uiPriority="68"/>
    <w:lsdException w:name="Medium Grid 2 Accent 3" w:uiPriority="68"/>
    <w:lsdException w:name="Medium Grid 2 Accent 4" w:uiPriority="68"/>
    <w:lsdException w:name="Medium Grid 2 Accent 5" w:uiPriority="68"/>
    <w:lsdException w:name="Medium Grid 2 Accent 6" w:uiPriority="68"/>
    <w:lsdException w:name="Medium Grid 3" w:uiPriority="69"/>
    <w:lsdException w:name="Medium Grid 3 Accent 1" w:uiPriority="69"/>
    <w:lsdException w:name="Medium Grid 3 Accent 2" w:uiPriority="69"/>
    <w:lsdException w:name="Medium Grid 3 Accent 3" w:uiPriority="69"/>
    <w:lsdException w:name="Medium Grid 3 Accent 4" w:uiPriority="69"/>
    <w:lsdException w:name="Medium Grid 3 Accent 5" w:uiPriority="69"/>
    <w:lsdException w:name="Medium Grid 3 Accent 6" w:uiPriority="69"/>
    <w:lsdException w:name="Medium List 1" w:uiPriority="65"/>
    <w:lsdException w:name="Medium List 1 Accent 1" w:uiPriority="65"/>
    <w:lsdException w:name="Medium List 1 Accent 2" w:uiPriority="65"/>
    <w:lsdException w:name="Medium List 1 Accent 3" w:uiPriority="65"/>
    <w:lsdException w:name="Medium List 1 Accent 4" w:uiPriority="65"/>
    <w:lsdException w:name="Medium List 1 Accent 5" w:uiPriority="65"/>
    <w:lsdException w:name="Medium List 1 Accent 6" w:uiPriority="65"/>
    <w:lsdException w:name="Medium List 2" w:uiPriority="66"/>
    <w:lsdException w:name="Medium List 2 Accent 1" w:uiPriority="66"/>
    <w:lsdException w:name="Medium List 2 Accent 2" w:uiPriority="66"/>
    <w:lsdException w:name="Medium List 2 Accent 3" w:uiPriority="66"/>
    <w:lsdException w:name="Medium List 2 Accent 4" w:uiPriority="66"/>
    <w:lsdException w:name="Medium List 2 Accent 5" w:uiPriority="66"/>
    <w:lsdException w:name="Medium List 2 Accent 6" w:uiPriority="66"/>
    <w:lsdException w:name="Medium Shading 1" w:uiPriority="63"/>
    <w:lsdException w:name="Medium Shading 1 Accent 1" w:uiPriority="63"/>
    <w:lsdException w:name="Medium Shading 1 Accent 2" w:uiPriority="63"/>
    <w:lsdException w:name="Medium Shading 1 Accent 3" w:uiPriority="63"/>
    <w:lsdException w:name="Medium Shading 1 Accent 4" w:uiPriority="63"/>
    <w:lsdException w:name="Medium Shading 1 Accent 5" w:uiPriority="63"/>
    <w:lsdException w:name="Medium Shading 1 Accent 6" w:uiPriority="63"/>
    <w:lsdException w:name="Medium Shading 2" w:uiPriority="64"/>
    <w:lsdException w:name="Medium Shading 2 Accent 1" w:uiPriority="64"/>
    <w:lsdException w:name="Medium Shading 2 Accent 2" w:uiPriority="64"/>
    <w:lsdException w:name="Medium Shading 2 Accent 3" w:uiPriority="64"/>
    <w:lsdException w:name="Medium Shading 2 Accent 4" w:uiPriority="64"/>
    <w:lsdException w:name="Medium Shading 2 Accent 5" w:uiPriority="64"/>
    <w:lsdException w:name="Medium Shading 2 Accent 6" w:uiPriority="64"/>
    <w:lsdException w:name="Mention" w:semiHidden="1" w:unhideWhenUsed="1"/>
    <w:lsdException w:name="Message Header" w:semiHidden="1" w:unhideWhenUsed="1"/>
    <w:lsdException w:name="No List" w:semiHidden="1" w:unhideWhenUsed="1"/>
    <w:lsdException w:name="No Spacing" w:uiPriority="1" w:qFormat="1"/>
    <w:lsdException w:name="Normal" w:uiPriority="0" w:qFormat="1"/>
    <w:lsdException w:name="Normal (Web)" w:semiHidden="1" w:unhideWhenUsed="1"/>
    <w:lsdException w:name="Normal Indent" w:semiHidden="1" w:unhideWhenUsed="1"/>
    <w:lsdException w:name="Normal Table" w:semiHidden="1" w:unhideWhenUsed="1"/>
    <w:lsdException w:name="Note Heading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page number" w:semiHidden="1" w:unhideWhenUsed="1"/>
    <w:lsdException w:name="Placeholder Text" w:semiHidden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Plain Text" w:semiHidden="1" w:unhideWhenUsed="1"/>
    <w:lsdException w:name="Quote" w:uiPriority="29" w:qFormat="1"/>
    <w:lsdException w:name="Revision" w:semiHidden="1"/>
    <w:lsdException w:name="Salutation" w:semiHidden="1" w:unhideWhenUsed="1"/>
    <w:lsdException w:name="Signature" w:semiHidden="1" w:unhideWhenUsed="1"/>
    <w:lsdException w:name="Smart Hyperlink" w:semiHidden="1" w:unhideWhenUsed="1"/>
    <w:lsdException w:name="Smart Link" w:semiHidden="1" w:unhideWhenUsed="1"/>
    <w:lsdException w:name="Strong" w:uiPriority="22" w:qFormat="1"/>
    <w:lsdException w:name="Subtitle" w:uiPriority="8" w:qFormat="1"/>
    <w:lsdException w:name="Subtle Emphasis" w:uiPriority="19" w:qFormat="1"/>
    <w:lsdException w:name="Subtle Reference" w:uiPriority="31" w:qFormat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Contemporary" w:semiHidden="1" w:unhideWhenUsed="1"/>
    <w:lsdException w:name="Table Elegant" w:semiHidden="1" w:unhideWhenUsed="1"/>
    <w:lsdException w:name="Table Grid" w:uiPriority="39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of authorities" w:semiHidden="1" w:unhideWhenUsed="1"/>
    <w:lsdException w:name="table of figures" w:semiHidden="1" w:unhideWhenUsed="1"/>
    <w:lsdException w:name="Table Professional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Subtle 1" w:semiHidden="1" w:unhideWhenUsed="1"/>
    <w:lsdException w:name="Table Subtle 2" w:semiHidden="1" w:unhideWhenUsed="1"/>
    <w:lsdException w:name="Table Theme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itle" w:uiPriority="7" w:qFormat="1"/>
    <w:lsdException w:name="toa heading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TOC Heading" w:uiPriority="39" w:semiHidden="1" w:unhideWhenUsed="1" w:qFormat="1"/>
    <w:lsdException w:name="Unresolved Mention" w:semiHidden="1" w:unhideWhenUsed="1"/>
  </w:latentStyles>
  <w:style w:type="paragraph" w:styleId="Heading1">
    <w:name w:val="heading 1"/>
    <w:basedOn w:val="a"/>
    <w:next w:val="a"/>
    <w:semiHidden w:val="0"/>
    <w:qFormat w:val="1"/>
    <w:pPr>
      <w:spacing w:beforeAutospacing="1" w:afterAutospacing="1"/>
      <w:outlineLvl w:val="0"/>
    </w:pPr>
    <w:rPr>
      <w:sz w:val="40"/>
    </w:rPr>
  </w:style>
  <w:style w:type="paragraph" w:styleId="Heading2">
    <w:name w:val="heading 2"/>
    <w:basedOn w:val="a"/>
    <w:next w:val="a"/>
    <w:semiHidden w:val="0"/>
    <w:qFormat w:val="1"/>
    <w:pPr>
      <w:spacing w:beforeAutospacing="1" w:afterAutospacing="1"/>
      <w:outlineLvl w:val="1"/>
    </w:pPr>
    <w:rPr>
      <w:sz w:val="32"/>
    </w:rPr>
  </w:style>
  <w:style w:type="paragraph" w:styleId="Heading3">
    <w:name w:val="heading 3"/>
    <w:basedOn w:val="a"/>
    <w:next w:val="a"/>
    <w:semiHidden w:val="0"/>
    <w:qFormat w:val="1"/>
    <w:pPr>
      <w:spacing w:beforeAutospacing="1" w:afterAutospacing="1"/>
      <w:outlineLvl w:val="2"/>
    </w:pPr>
    <w:rPr>
      <w:sz w:val="28"/>
    </w:rPr>
  </w:style>
  <w:style w:type="character" w:styleId="Hyperlink">
    <w:name w:val="Hyperlink"/>
    <w:uiPriority w:val="99"/>
    <w:semiHidden w:val="1"/>
    <w:unhideWhenUsed w:val="1"/>
    <w:rPr>
      <w:color w:val="#2F69C7"/>
      <w:u w:val="single"/>
    </w:rPr>
  </w:style>
  <w:style w:type="table" w:styleId="NormalTable" w:default="1">
    <w:name w:val="Normal Table"/>
    <w:tblPr>
      <w:tblCellMar>
        <w:top w:w="99.78" w:type="dxa"/>
        <w:start w:w="99.78" w:type="dxa"/>
        <w:bottom w:w="99.78" w:type="dxa"/>
        <w:end w:w="99.78" w:type="dxa"/>
      </w:tblCellMar>
    </w:tblPr>
  </w:style>
  <w:style w:type="paragraph" w:styleId="Subtitle">
    <w:name w:val="subtitle"/>
    <w:basedOn w:val="a"/>
    <w:next w:val="a"/>
    <w:qFormat w:val="1"/>
    <w:pPr>
      <w:spacing w:afterAutospacing="1"/>
    </w:pPr>
    <w:rPr>
      <w:sz w:val="30"/>
      <w:color w:val="808080"/>
    </w:rPr>
  </w:style>
  <w:style w:type="table" w:styleId="TableGrid">
    <w:name w:val="Table Grid"/>
    <w:basedOn w:val="NormalTable"/>
    <w:tblPr>
      <w:tblBorders>
        <w:top w:val="single" w:color="#000000" w:sz="6"/>
        <w:left w:val="single" w:color="#000000" w:sz="6"/>
        <w:bottom w:val="single" w:color="#000000" w:sz="6"/>
        <w:right w:val="single" w:color="#000000" w:sz="6"/>
        <w:insideH w:val="single" w:color="#000000" w:sz="6"/>
        <w:insideV w:val="single" w:color="#000000" w:sz="6"/>
      </w:tblBorders>
    </w:tblPr>
  </w:style>
  <w:style w:type="paragraph" w:styleId="Title">
    <w:name w:val="title"/>
    <w:basedOn w:val="a"/>
    <w:next w:val="a"/>
    <w:qFormat w:val="1"/>
    <w:pPr>
      <w:spacing w:afterAutospacing="1"/>
    </w:pPr>
    <w:rPr>
      <w:sz w:val="52"/>
    </w:rPr>
  </w:style>
  <w:style w:type="paragraph" w:styleId="a" w:default="1">
    <w:name w:val="Normal"/>
    <w:qFormat w:val="1"/>
    <w:pPr>
      <w:spacing w:line="276" w:before="0" w:after="0" w:lineRule="auto"/>
    </w:pPr>
    <w:rPr>
      <w:rFonts w:hAnsi="Arial"/>
      <w:sz w:val="22"/>
      <w:szCs w:val="22"/>
    </w:rPr>
  </w:style>
  <w:style w:type="character" w:styleId="a0" w:default="1">
    <w:name w:val="Default Paragraph Font"/>
    <w:uiPriority w:val="1"/>
    <w:semiHidden w:val="1"/>
    <w:unhideWhenUsed w:val="1"/>
  </w:style>
  <w:style w:type="numbering" w:styleId="a2" w:default="1">
    <w:name w:val="No List"/>
    <w:uiPriority w:val="99"/>
    <w:semiHidden w:val="1"/>
    <w:unhideWhenUsed w:val="1"/>
  </w:style>
</w:styles>
</file>

<file path=word/webSettings.xml><?xml version="1.0" encoding="utf-8"?>
<w:webSettings xmlns:w16se="http://schemas.microsoft.com/office/word/2015/wordml/symex" xmlns:w16sdtdh="http://schemas.microsoft.com/office/word/2020/wordml/sdtdatahash" xmlns:unk1="http://schemas.microsoft.com/office/word/2023/wordml/word16du" xmlns:w16cex="http://schemas.microsoft.com/office/word/2018/wordml/cex" xmlns:w14="http://schemas.microsoft.com/office/word/2010/wordml" xmlns:w15="http://schemas.microsoft.com/office/word/2012/wordml" xmlns:w16="http://schemas.microsoft.com/office/word/2018/wordml" xmlns:w16cid="http://schemas.microsoft.com/office/word/2016/wordml/cid" xmlns:mc="http://schemas.openxmlformats.org/markup-compatibility/2006" xmlns:w="http://schemas.openxmlformats.org/wordprocessingml/2006/main" mc:Ignorable="w14 w15 w16se w16cid w16 w16cex w16sdtdh unk1">
  <w:optimizeForBrowser/>
  <w:allowPNG/>
</w:webSettings>
</file>

<file path=word/_rels/document.xml.rels><?xml version="1.0" 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Type="http://schemas.openxmlformats.org/officeDocument/2006/relationships/numbering" Target="numbering.xml" Id="rId-626d76db-6b9e-4892-93be-e5fb0aa248dd"/></Relationships>
</file>

<file path=word/theme/theme1.xml><?xml version="1.0" encoding="utf-8"?>
<a:theme xmlns:thm15="http://schemas.microsoft.com/office/thememl/2012/main" xmlns:a="http://schemas.openxmlformats.org/drawingml/2006/main">
  <a:themeElements>
    <a:clrScheme name="Стандартная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name="Office Theme" id="{62F939B6-93AF-4DB8-9C6B-D6C7DFDC589F}" vid="{4A3C46E8-61CC-4603-A589-7422A47A8E4A}"/>
    </a:ext>
  </a:extLst>
</a:theme>
</file>

<file path=customXml/_rels/item1.xml.rels><?xml version="1.0" ?>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ibliography:Sources xmlns:bibliography="http://schemas.openxmlformats.org/officeDocument/2006/bibliography" SelectedStyle="/APASixthEditionOfficeOnline.xsl" StyleName="APA" Version="6"/>
</file>

<file path=customXml/itemProps1.xml><?xml version="1.0" encoding="utf-8"?>
<customXml:datastoreItem xmlns:customXml="http://schemas.openxmlformats.org/officeDocument/2006/customXml" customXml:itemID="{18266FF8-31FE-0E4B-8F97-0718C7B8FEEC}">
  <customXml:schemaRefs>
    <customXml:schemaRef customXml:uri="http://schemas.openxmlformats.org/officeDocument/2006/bibliography"/>
  </customXml:schemaRefs>
</customXml:datastoreItem>
</file>

<file path=docProps/app.xml><?xml version="1.0" encoding="utf-8"?>
<ep:Properties xmlns:ep="http://schemas.openxmlformats.org/officeDocument/2006/extended-properties">
  <ep:Template>Normal.dotx</ep:Template>
  <ep:TotalTime>0</ep:TotalTime>
  <ep:Pages>1</ep:Pages>
  <ep:Words>0</ep:Words>
  <ep:Characters>0</ep:Characters>
  <ep:Application>Яндекс Документы</ep:Application>
  <ep:DocSecurity>0</ep:DocSecurity>
  <ep:Lines>0</ep:Lines>
  <ep:Paragraphs>0</ep:Paragraphs>
  <ep:ScaleCrop>false</ep:ScaleCrop>
  <ep:Company/>
  <ep:LinksUpToDate>false</ep:LinksUpToDate>
  <ep:CharactersWithSpaces>0</ep:CharactersWithSpaces>
  <ep:SharedDoc>false</ep:SharedDoc>
  <ep:HyperlinksChanged>false</ep:HyperlinksChanged>
  <ep:AppVersion>1.0000</ep:AppVersion>
</ep:Properties>
</file>

<file path=docProps/core.xml><?xml version="1.0" encoding="utf-8"?>
<cp:coreProperties xmlns:dcterms="http://purl.org/dc/terms/" xmlns:cp="http://schemas.openxmlformats.org/package/2006/metadata/core-properties" xmlns:xsi="http://www.w3.org/2001/XMLSchema-instance" xmlns:dc="http://purl.org/dc/elements/1.1/">
  <dc:title/>
  <dc:subject/>
  <dc:creator/>
  <cp:keywords/>
  <dc:description/>
  <cp:lastModifiedBy/>
  <cp:revision>1</cp:revision>
  <dcterms:created xsi:type="dcterms:W3CDTF">2024-11-06T21:43:00Z</dcterms:created>
  <dcterms:modified xsi:type="dcterms:W3CDTF">2024-11-06T21:43:00Z</dcterms:modified>
</cp:coreProperties>
</file>