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bCs/>
          <w:i/>
          <w:sz w:val="24"/>
          <w:szCs w:val="24"/>
          <w:highlight w:val="none"/>
        </w:rPr>
      </w:pPr>
      <w:r>
        <w:rPr>
          <w:i/>
          <w:iCs/>
          <w:sz w:val="24"/>
          <w:szCs w:val="24"/>
        </w:rPr>
      </w:r>
      <w:r>
        <w:rPr>
          <w:b/>
          <w:bCs/>
          <w:i/>
          <w:iCs/>
          <w:sz w:val="24"/>
          <w:szCs w:val="24"/>
        </w:rPr>
        <w:t xml:space="preserve">Доклад к публичным слушаниям Председателя Контрольно-счетной палаты  Анжеро- Судженского городского округа по проекту решения  «О бюджете муниципального образования «Анжеро-Судженский городской округ на 2022 год и плановый период 2023 и 2024 годов»</w:t>
      </w:r>
      <w:r>
        <w:rPr>
          <w:b/>
          <w:bCs/>
          <w:i/>
          <w:iCs/>
          <w:sz w:val="24"/>
          <w:szCs w:val="24"/>
        </w:rPr>
      </w:r>
      <w:r>
        <w:rPr>
          <w:i/>
          <w:iCs/>
          <w:sz w:val="24"/>
          <w:szCs w:val="24"/>
        </w:rPr>
      </w:r>
    </w:p>
    <w:p>
      <w:pPr>
        <w:ind w:left="0" w:right="0" w:firstLine="425"/>
        <w:jc w:val="both"/>
        <w:rPr>
          <w:b/>
          <w:bCs/>
          <w:i/>
          <w:sz w:val="24"/>
          <w:szCs w:val="24"/>
          <w:highlight w:val="none"/>
        </w:rPr>
      </w:pPr>
      <w:r>
        <w:rPr>
          <w:b/>
          <w:bCs/>
          <w:i/>
          <w:iCs/>
          <w:sz w:val="24"/>
          <w:szCs w:val="24"/>
          <w:highlight w:val="none"/>
        </w:rPr>
      </w:r>
      <w:r>
        <w:rPr>
          <w:sz w:val="24"/>
          <w:szCs w:val="24"/>
        </w:rPr>
        <w:t xml:space="preserve">Экспертиза Проекта бюджета Анжеро-Судженского городского округа  на 2023 год и на плановый 2-х летний период проведена Контрольно-счетной  палатой в соответствии с бюджетными полномочиями.</w:t>
      </w:r>
      <w:r>
        <w:rPr>
          <w:b/>
          <w:bCs/>
          <w:i/>
          <w:iCs/>
          <w:sz w:val="24"/>
          <w:szCs w:val="24"/>
          <w:highlight w:val="none"/>
        </w:rPr>
      </w:r>
      <w:r>
        <w:rPr>
          <w:b/>
          <w:bCs/>
          <w:i/>
          <w:iCs/>
          <w:sz w:val="24"/>
          <w:szCs w:val="24"/>
          <w:highlight w:val="none"/>
        </w:rPr>
      </w:r>
    </w:p>
    <w:p>
      <w:pPr>
        <w:ind w:left="0" w:right="0" w:firstLine="0"/>
        <w:jc w:val="left"/>
        <w:rPr>
          <w:sz w:val="24"/>
          <w:szCs w:val="24"/>
          <w:highlight w:val="none"/>
        </w:rPr>
      </w:pPr>
      <w:r>
        <w:rPr>
          <w:b/>
          <w:bCs/>
          <w:i/>
          <w:iCs/>
          <w:sz w:val="24"/>
          <w:szCs w:val="24"/>
          <w:highlight w:val="none"/>
        </w:rPr>
      </w:r>
      <w:r>
        <w:rPr>
          <w:sz w:val="24"/>
          <w:szCs w:val="24"/>
        </w:rPr>
        <w:t xml:space="preserve">По итогам экспертизы сделаны следующие выводы:</w:t>
      </w:r>
      <w:r>
        <w:rPr>
          <w:b/>
          <w:bCs/>
          <w:i/>
          <w:iCs/>
          <w:sz w:val="24"/>
          <w:szCs w:val="24"/>
          <w:highlight w:val="none"/>
        </w:rPr>
      </w:r>
      <w:r>
        <w:rPr>
          <w:b/>
          <w:bCs/>
          <w:i/>
          <w:sz w:val="24"/>
          <w:szCs w:val="24"/>
          <w:highlight w:val="none"/>
        </w:rPr>
      </w:r>
    </w:p>
    <w:p>
      <w:pPr>
        <w:ind w:left="0" w:right="0" w:firstLine="0"/>
        <w:jc w:val="left"/>
        <w:rPr>
          <w:b/>
          <w:bCs/>
          <w:i/>
          <w:sz w:val="32"/>
          <w:szCs w:val="32"/>
          <w:highlight w:val="none"/>
        </w:rPr>
      </w:pPr>
      <w:r>
        <w:rPr>
          <w:b/>
          <w:bCs/>
          <w:i/>
          <w:sz w:val="32"/>
          <w:szCs w:val="32"/>
          <w:highlight w:val="none"/>
        </w:rPr>
      </w:r>
      <w:r>
        <w:rPr>
          <w:b/>
          <w:bCs/>
          <w:i/>
          <w:sz w:val="32"/>
          <w:szCs w:val="32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Перечень  документов  и  материалов,  представленные  одновременно с Проектом решения, по своему составу и  содержанию соответствует требованиям статей 184.1, 184.2 БК РФ,  статьи  5 Положения о бюджетном процессе.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Проектом Решения соблюдены требования и ограничения,  установленные БК РФ.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палата отмечает высокое качество основных  направлений бюджетной и налоговой политики Анжеро Судженского городского округа на 2022 год и плановый период  2023 и 2024 годов, в части детализации основных направлений,  задач и мероприятий, </w:t>
      </w:r>
      <w:r>
        <w:rPr>
          <w:sz w:val="24"/>
          <w:szCs w:val="24"/>
        </w:rPr>
        <w:t xml:space="preserve">степени охваченности проблематики.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палата отмечает, что разработчиками Проекта  бюджета в достаточной мере при планировании доходов  учитывались  изменения  бюджетного   и  налогового  законодательства в соответствии с принятыми на момент  формирования проекта бюджета нор</w:t>
      </w:r>
      <w:r>
        <w:rPr>
          <w:sz w:val="24"/>
          <w:szCs w:val="24"/>
        </w:rPr>
        <w:t xml:space="preserve">мативно-правовыми актами  федерального и регионального уровней, а также   риски,  возникающие при исполнении доходной части по неналоговым  доходам.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Остается  актуальной проблема взаимоувязки показателей  одобренного Прогноза СЭР с проектом бюджета, проектом  бюджетного прогноза (доходы, расходы консолидированного  бюджета муниципального образования,  дефицит), за исключением  коэффициентов-дефляторов,</w:t>
      </w:r>
      <w:r>
        <w:rPr>
          <w:sz w:val="24"/>
          <w:szCs w:val="24"/>
        </w:rPr>
        <w:t xml:space="preserve"> при этом показатели   Проекта  бюджета и бюджетного прогноза корректируются.</w:t>
      </w:r>
      <w:r>
        <w:t xml:space="preserve"> 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нарушение  Федерального закона № 172 - ФЗ «О стратегическом  планировании  в  Российской  Федерации Постановления  администрации Анжеро-Судженского городского округа от  30.07.2021 №783 «О прогнозе социально-экономического развития  Анжеро-Судженского го</w:t>
      </w:r>
      <w:r>
        <w:rPr>
          <w:sz w:val="24"/>
          <w:szCs w:val="24"/>
        </w:rPr>
        <w:t xml:space="preserve">родского округа на 2022 год и плановый  период 2023 и 2024 годов» управлением экономического развития  администрации Анжеро-Судженского городского округа не  обеспечена регистрация прогноза социально-экономического  развития Анжеро-Судженского городского о</w:t>
      </w:r>
      <w:r>
        <w:rPr>
          <w:sz w:val="24"/>
          <w:szCs w:val="24"/>
        </w:rPr>
        <w:t xml:space="preserve">круга на 2022 год и на  плановый период 2023 и 2024 годов в федеральном  государственном  реестре  планирования.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 палата  документов  обращает  стратегического  КУМИ  администрации Анжеро-Судженского городского округа   внимание  на  необходимость своевременного взыскания задолженности  по всем  видам неналоговых доходов, в том числе по «доходному»</w:t>
      </w:r>
      <w:r>
        <w:rPr>
          <w:sz w:val="24"/>
          <w:szCs w:val="24"/>
        </w:rPr>
        <w:t xml:space="preserve"> дому. 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 итогам экспертизы муниципальных программ установлено следующее: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  <w14:ligatures w14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pStyle w:val="621"/>
        <w:numPr>
          <w:ilvl w:val="1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  нарушение пункта 1 статьи 179 Бюджетного кодекса РФ,  пункта 2.1. Положения о муниципальных программах Анжеро Судженского городского округа принято постановление  администрации Анжеро-Судженского городского округа от  09.09.2021  № 983 «Об утверждении </w:t>
      </w:r>
      <w:r>
        <w:rPr>
          <w:sz w:val="24"/>
          <w:szCs w:val="24"/>
        </w:rPr>
        <w:t xml:space="preserve">перечня муниципальных  программ Анжеро-Судженского городского округа».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1"/>
          <w:numId w:val="1"/>
        </w:numPr>
        <w:contextualSpacing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нарушение статьи 12 Федерального закона от 28 июня 2014 №  172-ФЗ «О стратегическом планировании в Российской  Федерации»,  пункта 10 Правил государственной регистрации  документов  стратегического  федерального  планирования  государственного  реестра  </w:t>
      </w:r>
      <w:r>
        <w:rPr>
          <w:sz w:val="24"/>
          <w:szCs w:val="24"/>
        </w:rPr>
        <w:t xml:space="preserve">и  ведения  документов  стратегического планирования, утвержденного Постановлением  Правительства Российской Федерации от 25.06.2015 №631,  пункта   2.20. Положения о МП исполнители программ </w:t>
      </w:r>
      <w:r>
        <w:rPr>
          <w:sz w:val="24"/>
          <w:szCs w:val="24"/>
          <w:u w:val="single"/>
        </w:rPr>
        <w:t xml:space="preserve">не  зарегистрировали следующие программы</w:t>
      </w:r>
      <w:r>
        <w:rPr>
          <w:sz w:val="24"/>
          <w:szCs w:val="24"/>
        </w:rPr>
        <w:t xml:space="preserve">  на 2022-2024 годы в  фе</w:t>
      </w:r>
      <w:r>
        <w:rPr>
          <w:sz w:val="24"/>
          <w:szCs w:val="24"/>
        </w:rPr>
        <w:t xml:space="preserve">деральном  стратегического  государственном  планирования  реестре  посредством  документов  заполнения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электронной  формы  уведомления  в  государственной  автоматизированной информационной системе «Управление»:  </w:t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1417" w:right="0" w:firstLine="0"/>
        <w:jc w:val="both"/>
        <w:spacing w:line="283" w:lineRule="atLeast"/>
        <w:shd w:val="nil" w:color="000000"/>
        <w:tabs>
          <w:tab w:val="left" w:pos="1134" w:leader="none"/>
        </w:tabs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-  «Повышение эффективности управления муниципальной  собственностью Анжеро-Судженского городского округа»;   </w:t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1417" w:right="0" w:firstLine="0"/>
        <w:jc w:val="both"/>
        <w:spacing w:line="283" w:lineRule="atLeast"/>
        <w:shd w:val="nil" w:color="000000"/>
        <w:tabs>
          <w:tab w:val="left" w:pos="1134" w:leader="none"/>
        </w:tabs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«Развитие и поддержка субъектов мало</w:t>
      </w:r>
      <w:r>
        <w:rPr>
          <w:sz w:val="24"/>
          <w:szCs w:val="24"/>
        </w:rPr>
        <w:t xml:space="preserve">го и среднего  предпринимательства Анжеро-Судженского городского округа»;   </w:t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1417" w:right="0" w:firstLine="0"/>
        <w:jc w:val="both"/>
        <w:spacing w:line="283" w:lineRule="atLeast"/>
        <w:shd w:val="nil" w:color="000000"/>
        <w:tabs>
          <w:tab w:val="left" w:pos="1134" w:leader="none"/>
        </w:tabs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«Развитие культуры Анжеро-Судженского городского округа»;   </w:t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1417" w:right="0" w:firstLine="0"/>
        <w:jc w:val="both"/>
        <w:spacing w:line="283" w:lineRule="atLeast"/>
        <w:shd w:val="nil" w:color="000000"/>
        <w:tabs>
          <w:tab w:val="left" w:pos="1134" w:leader="none"/>
        </w:tabs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«Обеспечение общественного порядка, пожарной безопасности и  защита от чрезвычайных ситуаций»;  </w:t>
      </w:r>
      <w:r>
        <w:rPr>
          <w:sz w:val="24"/>
          <w:szCs w:val="24"/>
          <w:highlight w:val="none"/>
          <w14:ligatures w14:val="none"/>
        </w:rPr>
      </w:r>
    </w:p>
    <w:p>
      <w:pPr>
        <w:contextualSpacing/>
        <w:ind w:left="1417" w:right="0" w:firstLine="0"/>
        <w:jc w:val="both"/>
        <w:spacing w:line="283" w:lineRule="atLeast"/>
        <w:shd w:val="nil" w:color="000000"/>
        <w:tabs>
          <w:tab w:val="left" w:pos="1134" w:leader="none"/>
        </w:tabs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</w:rPr>
        <w:t xml:space="preserve">- «Развитие туризма на т</w:t>
      </w:r>
      <w:r>
        <w:rPr>
          <w:sz w:val="24"/>
          <w:szCs w:val="24"/>
        </w:rPr>
        <w:t xml:space="preserve">ерритории Анжеро-Судженского  городского округа».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Объем финансового обеспечения реализации Программы за счет  средств местного бюджета в паспортах МП не соответствует  бюджетным ассигнованиям, предусмотренным на реализацию МП  в проекте бюджета на 2022 год и на плановый период 2023 и 2024  годов, что нару</w:t>
      </w:r>
      <w:r>
        <w:rPr>
          <w:sz w:val="24"/>
          <w:szCs w:val="24"/>
        </w:rPr>
        <w:t xml:space="preserve">шает принцип достоверности бюджета в позиции  надежности показателей и реалистичности расчета доходов и  расходов бюджета (ст. 37 Бюджетный кодекс РФ).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палата обращает внимание на отсутствие  взаимосвязи между финансовым обеспечением мероприятий МП и бюджетными ассигнованиями, предусмотренными проектом  бюджета. </w:t>
      </w:r>
      <w:r>
        <w:rPr>
          <w:sz w:val="28"/>
          <w:szCs w:val="28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Разработчики проекта бюджета самостоятельно принимают  решение о распределении бюджетных ассигнований, так как по 11  МП сумма запланированного ресурсного обеспечения увеличена  на 2022 год на  815 333,8 тыс. рублей  или в 1,4 раза, что  приводит </w:t>
      </w:r>
      <w:r>
        <w:rPr>
          <w:sz w:val="24"/>
          <w:szCs w:val="24"/>
        </w:rPr>
        <w:t xml:space="preserve">к дискредитации программно-целевого принципа  формирования бюджета. 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  <w:r>
        <w:rPr>
          <w:sz w:val="24"/>
          <w:szCs w:val="24"/>
          <w:highlight w:val="none"/>
          <w14:ligatures w14:val="none"/>
        </w:rPr>
      </w:r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14:ligatures w14:val="none"/>
        </w:rPr>
      </w:pPr>
      <w:r>
        <w:rPr>
          <w:sz w:val="32"/>
          <w:szCs w:val="32"/>
          <w:highlight w:val="none"/>
        </w:rPr>
      </w:r>
      <w:r>
        <w:rPr>
          <w:sz w:val="24"/>
          <w:szCs w:val="24"/>
        </w:rPr>
        <w:t xml:space="preserve">В Паспортах  МП планируются  плановые значения целевых  показателей при отсутствии ресурсного обеспечения: </w:t>
      </w:r>
      <w:r>
        <w:rPr>
          <w:sz w:val="24"/>
          <w:szCs w:val="24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«Создание  условий  дл</w:t>
      </w:r>
      <w:r>
        <w:rPr>
          <w:sz w:val="24"/>
          <w:szCs w:val="24"/>
        </w:rPr>
        <w:t xml:space="preserve">я  </w:t>
      </w:r>
      <w:r>
        <w:rPr>
          <w:sz w:val="24"/>
          <w:szCs w:val="24"/>
        </w:rPr>
        <w:t xml:space="preserve">повышения  эффективности </w:t>
      </w:r>
      <w:r>
        <w:rPr>
          <w:sz w:val="24"/>
          <w:szCs w:val="24"/>
        </w:rPr>
        <w:t xml:space="preserve">муниципального управления»;   </w:t>
      </w:r>
      <w:r>
        <w:rPr>
          <w:sz w:val="24"/>
          <w:szCs w:val="24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«Повышение эффективности управления муниципальной  собственностью </w:t>
      </w:r>
      <w:r>
        <w:rPr>
          <w:sz w:val="24"/>
          <w:szCs w:val="24"/>
        </w:rPr>
        <w:t xml:space="preserve">Анжеро-Судженского городского округа»;   </w:t>
      </w:r>
      <w:r/>
      <w:r/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«Обеспечение общественного порядка, пожарной безопасности и  защита от чрезвычайных ситуаций»;</w:t>
      </w:r>
      <w:r>
        <w:rPr>
          <w:sz w:val="24"/>
          <w:szCs w:val="24"/>
        </w:rPr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«Развитие  системы  образования  Анжеро-Судженского  городского округа»;  </w:t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«Развитие физической культуры и спорта в муниципальном  образовании Анжеро-Судженский городской округ»;   </w:t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4"/>
          <w:szCs w:val="24"/>
          <w14:ligatures w14:val="none"/>
        </w:rPr>
      </w:pPr>
      <w:r>
        <w:rPr>
          <w:sz w:val="24"/>
          <w:szCs w:val="24"/>
        </w:rPr>
        <w:t xml:space="preserve">«Комплексные  мероприятия по повышению  энергоэффективности жилищно- ком</w:t>
      </w:r>
      <w:r>
        <w:rPr>
          <w:sz w:val="24"/>
          <w:szCs w:val="24"/>
        </w:rPr>
        <w:t xml:space="preserve">мунального хозяйства на  территории Анжеро-Судженского городского округа»; </w:t>
      </w:r>
      <w:r>
        <w:rPr>
          <w:sz w:val="28"/>
          <w:szCs w:val="28"/>
          <w:highlight w:val="none"/>
          <w14:ligatures w14:val="none"/>
        </w:rPr>
      </w:r>
    </w:p>
    <w:p>
      <w:pPr>
        <w:contextualSpacing/>
        <w:ind w:left="1069" w:firstLine="0"/>
        <w:jc w:val="both"/>
        <w:spacing w:line="283" w:lineRule="atLeast"/>
        <w:shd w:val="nil" w:color="000000"/>
        <w:rPr>
          <w:sz w:val="28"/>
          <w:szCs w:val="28"/>
          <w:highlight w:val="none"/>
          <w14:ligatures w14:val="none"/>
        </w:rPr>
      </w:pPr>
      <w:r>
        <w:rPr>
          <w:sz w:val="24"/>
          <w:szCs w:val="24"/>
        </w:rPr>
        <w:t xml:space="preserve">-  «Развитие  туризма  городского округа».</w:t>
      </w:r>
      <w:r/>
      <w:r/>
    </w:p>
    <w:p>
      <w:pPr>
        <w:pStyle w:val="621"/>
        <w:numPr>
          <w:ilvl w:val="0"/>
          <w:numId w:val="1"/>
        </w:numPr>
        <w:jc w:val="both"/>
        <w:shd w:val="nil" w:color="000000"/>
        <w:rPr>
          <w:sz w:val="24"/>
          <w:szCs w:val="24"/>
          <w:highlight w:val="none"/>
          <w14:ligatures w14:val="none"/>
        </w:rPr>
      </w:pPr>
      <w:r>
        <w:rPr>
          <w:sz w:val="28"/>
          <w:szCs w:val="28"/>
          <w:highlight w:val="none"/>
        </w:rPr>
      </w:r>
      <w:r>
        <w:rPr>
          <w:sz w:val="24"/>
          <w:szCs w:val="24"/>
        </w:rPr>
        <w:t xml:space="preserve">Контрольно-счетная палата также указывала в заключении на  отчет по исполнению муниципальных программ за 2020 год на  некорректность установленных значений показателей в части  занижения значения показателя к достигнутому уровню  предыдущих лет при увеличе</w:t>
      </w:r>
      <w:r>
        <w:rPr>
          <w:sz w:val="24"/>
          <w:szCs w:val="24"/>
        </w:rPr>
        <w:t xml:space="preserve">нии финансового обеспечения.  Данная проблема остается актуальной.</w:t>
      </w:r>
      <w:r>
        <w:rPr>
          <w:sz w:val="24"/>
          <w:szCs w:val="24"/>
          <w:highlight w:val="none"/>
        </w:rPr>
      </w:r>
      <w:r>
        <w:rPr>
          <w:sz w:val="28"/>
          <w:szCs w:val="28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  <w14:ligatures w14:val="none"/>
        </w:rPr>
      </w:r>
    </w:p>
    <w:sectPr>
      <w:footnotePr/>
      <w:endnotePr/>
      <w:type w:val="nextPage"/>
      <w:pgSz w:w="11906" w:h="16838" w:orient="portrait"/>
      <w:pgMar w:top="1134" w:right="850" w:bottom="680" w:left="1276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sz w:val="24"/>
      </w:rPr>
    </w:lvl>
    <w:lvl w:ilvl="1">
      <w:start w:val="1"/>
      <w:numFmt w:val="decimal"/>
      <w:isLgl w:val="false"/>
      <w:suff w:val="tab"/>
      <w:lvlText w:val="%1.%2."/>
      <w:lvlJc w:val="left"/>
      <w:pPr>
        <w:ind w:left="1501" w:hanging="432"/>
      </w:pPr>
    </w:lvl>
    <w:lvl w:ilvl="2">
      <w:start w:val="1"/>
      <w:numFmt w:val="decimal"/>
      <w:isLgl w:val="false"/>
      <w:suff w:val="tab"/>
      <w:lvlText w:val="%1.%2.%3."/>
      <w:lvlJc w:val="left"/>
      <w:pPr>
        <w:ind w:left="1933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2437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941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3445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949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453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029" w:hanging="144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</w:lvl>
    <w:lvl w:ilvl="1">
      <w:start w:val="1"/>
      <w:numFmt w:val="decimal"/>
      <w:isLgl w:val="false"/>
      <w:suff w:val="tab"/>
      <w:lvlText w:val="%1.%2."/>
      <w:lvlJc w:val="left"/>
      <w:pPr>
        <w:ind w:left="1501" w:hanging="432"/>
      </w:pPr>
    </w:lvl>
    <w:lvl w:ilvl="2">
      <w:start w:val="1"/>
      <w:numFmt w:val="decimal"/>
      <w:isLgl w:val="false"/>
      <w:suff w:val="tab"/>
      <w:lvlText w:val="%1.%2.%3."/>
      <w:lvlJc w:val="left"/>
      <w:pPr>
        <w:ind w:left="1933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2437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941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3445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949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453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029" w:hanging="144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</w:lvl>
    <w:lvl w:ilvl="1">
      <w:start w:val="1"/>
      <w:numFmt w:val="decimal"/>
      <w:isLgl w:val="false"/>
      <w:suff w:val="tab"/>
      <w:lvlText w:val="%1.%2."/>
      <w:lvlJc w:val="left"/>
      <w:pPr>
        <w:ind w:left="1501" w:hanging="432"/>
      </w:pPr>
    </w:lvl>
    <w:lvl w:ilvl="2">
      <w:start w:val="1"/>
      <w:numFmt w:val="decimal"/>
      <w:isLgl w:val="false"/>
      <w:suff w:val="tab"/>
      <w:lvlText w:val="%1.%2.%3."/>
      <w:lvlJc w:val="left"/>
      <w:pPr>
        <w:ind w:left="1933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2437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941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3445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949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453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029" w:hanging="1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panty</cp:lastModifiedBy>
  <cp:revision>1</cp:revision>
  <dcterms:modified xsi:type="dcterms:W3CDTF">2025-10-18T15:00:56Z</dcterms:modified>
</cp:coreProperties>
</file>