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contextualSpacing/>
        <w:jc w:val="center"/>
        <w:spacing w:line="17" w:lineRule="atLeast"/>
        <w:rPr>
          <w:b/>
          <w:bCs/>
          <w:i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Доклад к публичным слушаниям Председателя Контрольно-счетной палаты </w:t>
      </w:r>
      <w:r>
        <w:rPr>
          <w:b/>
          <w:bCs/>
          <w:i/>
          <w:iCs/>
          <w:sz w:val="24"/>
          <w:szCs w:val="24"/>
        </w:rPr>
      </w:r>
    </w:p>
    <w:p>
      <w:pPr>
        <w:contextualSpacing/>
        <w:jc w:val="center"/>
        <w:spacing w:line="17" w:lineRule="atLeast"/>
        <w:rPr>
          <w:b/>
          <w:bCs/>
          <w:i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Анжеро- Судженского городского округа по проекту решения </w:t>
      </w:r>
      <w:r>
        <w:rPr>
          <w:b/>
          <w:bCs/>
          <w:i/>
          <w:iCs/>
          <w:sz w:val="24"/>
          <w:szCs w:val="24"/>
        </w:rPr>
      </w:r>
    </w:p>
    <w:p>
      <w:pPr>
        <w:contextualSpacing/>
        <w:jc w:val="center"/>
        <w:spacing w:line="17" w:lineRule="atLeast"/>
        <w:rPr>
          <w:b/>
          <w:bCs/>
          <w:i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«О бюджете муниципального образования «Анжеро-Судженский городской округ на </w:t>
      </w:r>
      <w:r>
        <w:rPr>
          <w:b/>
          <w:bCs/>
          <w:i/>
          <w:iCs/>
          <w:sz w:val="24"/>
          <w:szCs w:val="24"/>
        </w:rPr>
      </w:r>
      <w:r>
        <w:rPr>
          <w:b/>
          <w:bCs/>
          <w:i/>
          <w:sz w:val="24"/>
          <w:szCs w:val="24"/>
          <w:highlight w:val="none"/>
        </w:rPr>
      </w:r>
      <w:r>
        <w:rPr>
          <w:b/>
          <w:bCs/>
          <w:i/>
          <w:iCs/>
          <w:sz w:val="24"/>
          <w:szCs w:val="24"/>
        </w:rPr>
        <w:t xml:space="preserve">2023 год и плановый период 2024 и 2025 годов»</w:t>
      </w:r>
      <w:r>
        <w:rPr>
          <w:b/>
          <w:bCs/>
          <w:i/>
          <w:sz w:val="24"/>
          <w:szCs w:val="24"/>
        </w:rPr>
      </w:r>
      <w:r/>
      <w:r>
        <w:rPr>
          <w:b/>
          <w:bCs/>
          <w:i/>
          <w:sz w:val="24"/>
          <w:szCs w:val="24"/>
        </w:rPr>
      </w:r>
    </w:p>
    <w:p>
      <w:pPr>
        <w:contextualSpacing/>
        <w:jc w:val="center"/>
        <w:spacing w:line="17" w:lineRule="atLeast"/>
        <w:rPr>
          <w:b/>
          <w:bCs/>
          <w:i/>
          <w:highlight w:val="none"/>
        </w:rPr>
      </w:pPr>
      <w:r>
        <w:rPr>
          <w:b/>
          <w:bCs/>
          <w:i/>
          <w:highlight w:val="none"/>
        </w:rPr>
      </w:r>
      <w:r>
        <w:rPr>
          <w:b/>
          <w:bCs/>
          <w:i/>
          <w:highlight w:val="none"/>
        </w:rPr>
      </w:r>
    </w:p>
    <w:p>
      <w:pPr>
        <w:ind w:left="0" w:right="0" w:firstLine="567"/>
        <w:jc w:val="both"/>
        <w:shd w:val="nil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Экспертиза Проекта бюджета Анжеро-Судженского городского округа на  2023 год и на плановый 2-х летний период проведена Контрольно-счетной  палатой в соответствии с бюджетными полномочиями.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ind w:left="0" w:right="0" w:firstLine="567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итогам экспертизы сделаны следующие выводы: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Проект решения о бюджете внесен главой Анжеро-Судженского городского  округа на рассмотрение Советом народных депутатов в соответствии со сроками  установленными статьей 185 Бюджетного кодекса, статьей 7 Положения о  бюджетном процессе.</w:t>
      </w:r>
      <w:r>
        <w:rPr>
          <w:highlight w:val="none"/>
        </w:rPr>
      </w:r>
      <w:r>
        <w:rPr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Перечень документов и материалов, представленные одновременно с Проектом  решения, по своему составу и содержанию соответствует требованиям статьи  184.2 БК </w:t>
      </w:r>
      <w:r>
        <w:rPr>
          <w:sz w:val="24"/>
          <w:szCs w:val="24"/>
        </w:rPr>
        <w:t xml:space="preserve">РФ,  статьи 7 Положения о бюджетном процессе.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Соблюдены требования статьи 6 Положения о бюджетном процессе в части  содержания основных характеристик в Проекте решения.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14:ligatures w14:val="none"/>
        </w:rPr>
      </w:r>
    </w:p>
    <w:p>
      <w:pPr>
        <w:pStyle w:val="621"/>
        <w:numPr>
          <w:ilvl w:val="0"/>
          <w:numId w:val="1"/>
        </w:numPr>
        <w:contextualSpacing/>
        <w:ind w:left="0" w:right="0" w:firstLine="283"/>
        <w:jc w:val="both"/>
        <w:shd w:val="nil" w:color="000000"/>
        <w:rPr>
          <w:sz w:val="28"/>
          <w:szCs w:val="28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Предлагаемые к утверждению характеристикам муниципального бюджета:</w:t>
      </w:r>
      <w:r>
        <w:rPr>
          <w:sz w:val="28"/>
          <w:szCs w:val="28"/>
          <w:highlight w:val="none"/>
        </w:rPr>
      </w:r>
      <w:r>
        <w:rPr>
          <w:sz w:val="28"/>
          <w:szCs w:val="28"/>
          <w14:ligatures w14:val="none"/>
        </w:rPr>
      </w:r>
    </w:p>
    <w:p>
      <w:pPr>
        <w:contextualSpacing/>
        <w:ind w:left="0" w:right="0" w:firstLine="142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- По размеру дефицита бюджета Анжеро-Судженского городского округа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contextualSpacing/>
        <w:ind w:left="0" w:right="0" w:firstLine="142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- По объему муниципального долга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contextualSpacing/>
        <w:ind w:left="0" w:right="0" w:firstLine="142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- По структуре муниципального долга, видам и срочности муниципальных  долговых обязательств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contextualSpacing/>
        <w:ind w:left="0" w:right="0" w:firstLine="142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- По расходам на обслуживание муниципального долга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contextualSpacing/>
        <w:ind w:left="0" w:right="0" w:firstLine="142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- По объему бюджетных ассигнований Дорожного фонда Анжеро-Судженского  городского округа</w:t>
      </w:r>
      <w:r>
        <w:rPr>
          <w:sz w:val="28"/>
          <w:szCs w:val="28"/>
          <w:highlight w:val="none"/>
          <w14:ligatures w14:val="none"/>
        </w:rPr>
      </w:r>
    </w:p>
    <w:p>
      <w:pPr>
        <w:contextualSpacing/>
        <w:ind w:left="0" w:right="0" w:firstLine="142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- По общему объему условно утвержденных расходов   определены с соблюдением ограничений и требований, установленных  Бюджетным кодексом РФ.</w:t>
      </w:r>
      <w:r>
        <w:rPr>
          <w:sz w:val="28"/>
          <w:szCs w:val="28"/>
          <w:highlight w:val="none"/>
          <w14:ligatures w14:val="none"/>
        </w:rPr>
      </w:r>
      <w:r>
        <w:rPr>
          <w:sz w:val="24"/>
          <w:szCs w:val="24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28"/>
          <w:szCs w:val="28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Проектом решения учтены новации законодательства Российской Федерации,  принятые в 2022 году.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32"/>
          <w:szCs w:val="32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Во исполнение требований  статьи 173 БК РФ прогноз социально экономического развития муниципального образования «Анжеро-Судженский  городской округ» на 2023 год и плановый период до 2024 и 2025 годов одобрен  постановлением администрации городского округа.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32"/>
          <w:szCs w:val="32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В нарушение статьи 13 Федерального закона «О стратегическом планировании  в Российской Федерации» администрацией Анжеро-Судженского городского  округа не обеспечено размещение информации о проведении общественного  обсуждения проекта прогноза социально-эко</w:t>
      </w:r>
      <w:r>
        <w:rPr>
          <w:sz w:val="24"/>
          <w:szCs w:val="24"/>
        </w:rPr>
        <w:t xml:space="preserve">номического развития Анжеро Судженского городского округа на среднесрочный период, а также текста  одобренных изменений среднесрочного прогноза на официальном сайте Анжеро Судженского городского округа (повторное нарушение).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32"/>
          <w:szCs w:val="32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Бюджетная политика сформирована с учетом изменений бюджетного и   налогового  законодательства,  социально-экономического  развития  муниципального образования, отражены итоги бюджетной и налоговой политики  за 2021 год и 9 месяцев 2022 года. Учтены замеча</w:t>
      </w:r>
      <w:r>
        <w:rPr>
          <w:sz w:val="24"/>
          <w:szCs w:val="24"/>
        </w:rPr>
        <w:t xml:space="preserve">ния Контрольно-счетной палаты  в  части отражения в Бюджетной политике информации о федеральных и  региональных проектах, реализуемых в рамках национальных проектов, в  которых предполагается участие города.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При формировании проекта Решения установлены нарушения Бюджетного  кодекса,  порядка формирования и применения кодов бюджетной классификации  Российской Федерации, отсутствие расходного обязательства при включении  расходов в проект решения. По результатам</w:t>
      </w:r>
      <w:r>
        <w:rPr>
          <w:sz w:val="24"/>
          <w:szCs w:val="24"/>
        </w:rPr>
        <w:t xml:space="preserve"> рассмотрения заключения  Контрольно-счетной палаты разработчиками проекта Решения нарушения и  замечания устранены в оперативном поряд</w:t>
      </w:r>
      <w:r>
        <w:rPr>
          <w:sz w:val="24"/>
          <w:szCs w:val="24"/>
        </w:rPr>
        <w:t xml:space="preserve">ке</w:t>
      </w:r>
      <w:r>
        <w:rPr>
          <w:sz w:val="24"/>
          <w:szCs w:val="24"/>
        </w:rPr>
        <w:t xml:space="preserve">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contextualSpacing w:val="0"/>
        <w:ind w:left="0" w:right="0" w:firstLine="283"/>
        <w:jc w:val="both"/>
        <w:shd w:val="nil" w:color="000000"/>
        <w:rPr>
          <w:sz w:val="28"/>
          <w:szCs w:val="28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Контрольно-счетной палатой проведена экспертиза 14 муниципальных  программ, по результатам которой были подготовлены рекомендации. Приводим  в соответствие до конца года и в течение 3 месяцев после принятия бюджета. По  срокам нарушения практически отсутств</w:t>
      </w:r>
      <w:r>
        <w:rPr>
          <w:sz w:val="24"/>
          <w:szCs w:val="24"/>
        </w:rPr>
        <w:t xml:space="preserve">уют.</w:t>
      </w:r>
      <w:r>
        <w:rPr>
          <w:sz w:val="28"/>
          <w:szCs w:val="28"/>
          <w:highlight w:val="none"/>
        </w:rPr>
      </w:r>
      <w:r>
        <w:rPr>
          <w:sz w:val="28"/>
          <w:szCs w:val="28"/>
          <w14:ligatures w14:val="none"/>
        </w:rPr>
      </w:r>
    </w:p>
    <w:p>
      <w:pPr>
        <w:contextualSpacing w:val="0"/>
        <w:ind w:left="0" w:right="0" w:firstLine="0"/>
        <w:jc w:val="both"/>
        <w:shd w:val="nil" w:color="000000"/>
        <w:rPr>
          <w:sz w:val="28"/>
          <w:szCs w:val="28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Проектом бюджета на 2023 год в рамках программных расходов предусмотрены  средства на реализацию мероприятий, направленных на достижение целей 3  национальных проектов (Жилье, Образование, Демография, Культура). </w:t>
      </w:r>
      <w:r>
        <w:rPr>
          <w:sz w:val="32"/>
          <w:szCs w:val="32"/>
          <w:highlight w:val="none"/>
        </w:rPr>
      </w:r>
      <w:r>
        <w:rPr>
          <w:sz w:val="28"/>
          <w:szCs w:val="28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28"/>
          <w:szCs w:val="28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Администрацией города ведется постоянная работа по снижению  кредиторской задолженности и на 1 ноября 2022 относительно аналогичного  периода прошлого года КЗ снизилась на 27%. (было 49,1 стало 36,1).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32"/>
          <w:szCs w:val="32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Общая сумма дебиторской задолженности на 01.10.2022 года по налоговым  доходам по данным налогового органа составила 14,3 млн. рублей со снижением к  началу года на 23,4%, по неналоговым доходам по данным КУМИ составляет  154,3 млн. рублей.</w:t>
      </w:r>
      <w:r>
        <w:rPr>
          <w:sz w:val="28"/>
          <w:szCs w:val="28"/>
          <w:highlight w:val="none"/>
        </w:rPr>
      </w:r>
      <w:r>
        <w:rPr>
          <w:sz w:val="32"/>
          <w:szCs w:val="32"/>
          <w14:ligatures w14:val="none"/>
        </w:rPr>
      </w:r>
    </w:p>
    <w:p>
      <w:pPr>
        <w:ind w:right="0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Из них невозможная к взысканию – 34,2 млн. рублей (ООО «ВОДА»,  «Водоканал», ООО «Теплоресурс» и др.  и зем. Участки) и доходы от возврата  дебиторской задолженности прошлых лет (ООО «СНК) порядка 42 млн. рублей. К началу текущего года на 28,4 % увеличил</w:t>
      </w:r>
      <w:r>
        <w:rPr>
          <w:sz w:val="24"/>
          <w:szCs w:val="24"/>
        </w:rPr>
        <w:t xml:space="preserve">ась задолженность по арендной плате  за земельные участки.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ind w:right="0"/>
        <w:jc w:val="both"/>
        <w:shd w:val="nil" w:color="000000"/>
        <w:rPr>
          <w:sz w:val="32"/>
          <w:szCs w:val="32"/>
          <w:highlight w:val="none"/>
          <w14:ligatures w14:val="none"/>
        </w:rPr>
      </w:pPr>
      <w:r>
        <w:rPr>
          <w:sz w:val="32"/>
          <w:szCs w:val="32"/>
          <w:highlight w:val="none"/>
        </w:rPr>
      </w:r>
      <w:r>
        <w:rPr>
          <w:sz w:val="24"/>
          <w:szCs w:val="24"/>
        </w:rPr>
        <w:t xml:space="preserve">На 35,6% увеличилась задолженность по договорам соцнайма (инвентаризация  договоров на предмет актуальности).</w:t>
      </w:r>
      <w:r>
        <w:rPr>
          <w:sz w:val="32"/>
          <w:szCs w:val="32"/>
          <w:highlight w:val="none"/>
        </w:rPr>
      </w:r>
      <w:r>
        <w:rPr>
          <w:sz w:val="32"/>
          <w:szCs w:val="32"/>
          <w:highlight w:val="none"/>
        </w:rPr>
      </w:r>
    </w:p>
    <w:p>
      <w:pPr>
        <w:ind w:right="0"/>
        <w:jc w:val="both"/>
        <w:shd w:val="nil" w:color="000000"/>
        <w:rPr>
          <w:sz w:val="40"/>
          <w:szCs w:val="40"/>
          <w14:ligatures w14:val="none"/>
        </w:rPr>
      </w:pPr>
      <w:r>
        <w:rPr>
          <w:sz w:val="36"/>
          <w:szCs w:val="36"/>
          <w:highlight w:val="none"/>
        </w:rPr>
      </w:r>
      <w:r>
        <w:rPr>
          <w:sz w:val="24"/>
          <w:szCs w:val="24"/>
        </w:rPr>
        <w:t xml:space="preserve">Снизилась задолженность по аренде имущества, составляющего государственную  (муниципальную) казну на 24%.</w:t>
      </w:r>
      <w:r>
        <w:rPr>
          <w:sz w:val="36"/>
          <w:szCs w:val="36"/>
          <w:highlight w:val="none"/>
        </w:rPr>
      </w:r>
      <w:r>
        <w:rPr>
          <w:sz w:val="36"/>
          <w:szCs w:val="36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32"/>
          <w:szCs w:val="32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Доля безвозмездных поступлений в общей сумме доходов бюджета в 2023  году составит 83,0%, с понижением в 2024 году на  4,2%, в 2025 году - на 6,2%.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ind w:left="0" w:right="0" w:firstLine="283"/>
        <w:jc w:val="both"/>
        <w:shd w:val="nil" w:color="000000"/>
        <w:rPr>
          <w:sz w:val="32"/>
          <w:szCs w:val="32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целях принятия мер по поддержанию минимальной долговой нагрузки  утверждена Долговая политика муниципального образования «Анжеро Судженский городской округ» на 2023 год и на плановый период 2024 и 2025  годов.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ind w:left="0" w:right="0" w:firstLine="0"/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состоянию на 01.10.2022 коммерческие заимствования погашены в полном  объеме, муниципальный долг на 100% состоит из заимствований вышестоящего  бюджета Кемеровской области – Кузбасса. Контрольно-счетная палата  положительно отмечает работу администрации</w:t>
      </w:r>
      <w:r>
        <w:rPr>
          <w:sz w:val="24"/>
          <w:szCs w:val="24"/>
        </w:rPr>
        <w:t xml:space="preserve"> Анжеро-Судженского городского  округа проведенную в текущем году по замещению заемных средств кредитных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организаций средствами бюджетного кредита.</w:t>
      </w:r>
      <w:r>
        <w:rPr>
          <w:sz w:val="24"/>
          <w:szCs w:val="24"/>
        </w:rPr>
      </w:r>
      <w:r>
        <w:rPr>
          <w:sz w:val="24"/>
          <w:szCs w:val="24"/>
          <w:highlight w:val="none"/>
        </w:rPr>
      </w:r>
    </w:p>
    <w:p>
      <w:pPr>
        <w:ind w:left="0" w:right="0" w:firstLine="0"/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Кроме того, руководствуясь основными принципам бюджетной и налоговой  политики городского округа на плановый период, Контрольно-счетная палата  рекомендует участникам бюджетного процесса и в дальнейшем соблюдать в  своей работе следующие приоритеты: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продолжить работу по мобилизации доходов бюджета и работу по  погашению муниципального долга и его оптимизации;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продолжить работу по замещению заемных средств кредитных  организаций средствами бюджетного кредита в структуре муниципального долга</w:t>
      </w:r>
      <w:r>
        <w:rPr>
          <w:sz w:val="24"/>
          <w:szCs w:val="24"/>
        </w:rPr>
        <w:t xml:space="preserve">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 целью  достижения реалистичности доходов и расходов бюджета  уделять особое внимание подготовке плановых документов;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активизировать работу по внутреннему финансовому и бюджетному  контролю при администрировании бюджетных средств;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принимать новые расходные обязательства с учетом их социальной  значимости;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администрации актуализировать порядки о предоставлении субсидий, а  участникам бюджетного   процесса соблюдать установленные порядки, не  допускать нарушения  условий соглашений о предоставлении субсидий.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ind w:left="0" w:right="0" w:firstLine="709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В завершение еще раз отмечу, что требования законодательства к  содержанию проекта бюджета городского округа на предстоящий трехлетний  период соблюдены.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ind w:left="0" w:right="0" w:firstLine="0"/>
        <w:jc w:val="both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Контрольно-счетная палата предлагает Совету народных депутатов  поддержать рассматриваемый проект бюджета.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tbl>
      <w:tblPr>
        <w:tblStyle w:val="48"/>
        <w:tblW w:w="0" w:type="auto"/>
        <w:tblInd w:w="708" w:type="dxa"/>
        <w:tblLayout w:type="fixed"/>
        <w:tblLook w:val="04A0" w:firstRow="1" w:lastRow="0" w:firstColumn="1" w:lastColumn="0" w:noHBand="0" w:noVBand="1"/>
      </w:tblPr>
      <w:tblGrid>
        <w:gridCol w:w="4323"/>
        <w:gridCol w:w="5032"/>
      </w:tblGrid>
      <w:tr>
        <w:tblPrEx/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323" w:type="dxa"/>
            <w:textDirection w:val="lrTb"/>
            <w:noWrap w:val="false"/>
          </w:tcPr>
          <w:p>
            <w:pPr>
              <w:jc w:val="both"/>
              <w:shd w:val="nil" w:color="000000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</w:r>
            <w:r>
              <w:t xml:space="preserve">Председатель</w:t>
            </w:r>
            <w:r>
              <w:rPr>
                <w:sz w:val="28"/>
                <w:szCs w:val="28"/>
                <w:highlight w:val="none"/>
              </w:rPr>
            </w:r>
            <w:r>
              <w:rPr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5032" w:type="dxa"/>
            <w:textDirection w:val="lrTb"/>
            <w:noWrap w:val="false"/>
          </w:tcPr>
          <w:p>
            <w:pPr>
              <w:jc w:val="right"/>
              <w:shd w:val="nil" w:color="000000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</w:r>
            <w:r>
              <w:t xml:space="preserve">  Е.Ю. Хамидулина</w:t>
            </w:r>
            <w:r>
              <w:rPr>
                <w:sz w:val="28"/>
                <w:szCs w:val="28"/>
                <w:highlight w:val="none"/>
              </w:rPr>
            </w:r>
            <w:r>
              <w:rPr>
                <w:sz w:val="28"/>
                <w:szCs w:val="28"/>
                <w:highlight w:val="none"/>
              </w:rPr>
            </w:r>
          </w:p>
        </w:tc>
      </w:tr>
    </w:tbl>
    <w:p>
      <w:pPr>
        <w:ind w:left="0" w:right="0" w:firstLine="0"/>
        <w:jc w:val="both"/>
        <w:shd w:val="nil" w:color="000000"/>
        <w:rPr>
          <w:sz w:val="28"/>
          <w:szCs w:val="28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ind w:right="0"/>
        <w:jc w:val="both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sectPr>
      <w:footnotePr/>
      <w:endnotePr/>
      <w:type w:val="nextPage"/>
      <w:pgSz w:w="11906" w:h="16838" w:orient="portrait"/>
      <w:pgMar w:top="851" w:right="850" w:bottom="680" w:left="992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)"/>
      <w:lvlJc w:val="righ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)"/>
      <w:lvlJc w:val="righ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1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panty</cp:lastModifiedBy>
  <cp:revision>1</cp:revision>
  <dcterms:modified xsi:type="dcterms:W3CDTF">2025-10-18T11:50:50Z</dcterms:modified>
</cp:coreProperties>
</file>